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B338E" w14:textId="2133906F" w:rsidR="001538EF" w:rsidRPr="001538EF" w:rsidRDefault="001538EF" w:rsidP="001538EF">
      <w:r w:rsidRPr="001538EF">
        <w:t xml:space="preserve">     </w:t>
      </w:r>
    </w:p>
    <w:p w14:paraId="4005C499" w14:textId="16D9291F" w:rsidR="001538EF" w:rsidRPr="001538EF" w:rsidRDefault="003F3226" w:rsidP="001538EF">
      <w:pPr>
        <w:jc w:val="center"/>
      </w:pPr>
      <w:r>
        <w:rPr>
          <w:noProof/>
          <w:lang w:val="en-US" w:eastAsia="en-US"/>
        </w:rPr>
        <w:drawing>
          <wp:inline distT="0" distB="0" distL="0" distR="0" wp14:anchorId="12428AF6" wp14:editId="1DD9BD1C">
            <wp:extent cx="2950210" cy="845185"/>
            <wp:effectExtent l="0" t="0" r="2540" b="0"/>
            <wp:docPr id="1342936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950210" cy="845185"/>
                    </a:xfrm>
                    <a:prstGeom prst="rect">
                      <a:avLst/>
                    </a:prstGeom>
                  </pic:spPr>
                </pic:pic>
              </a:graphicData>
            </a:graphic>
          </wp:inline>
        </w:drawing>
      </w:r>
    </w:p>
    <w:p w14:paraId="3853FEA5" w14:textId="77777777" w:rsidR="001538EF" w:rsidRPr="001538EF" w:rsidRDefault="001538EF" w:rsidP="001538EF"/>
    <w:p w14:paraId="095CCA59" w14:textId="77777777" w:rsidR="001538EF" w:rsidRPr="001538EF" w:rsidRDefault="001538EF" w:rsidP="001538EF">
      <w:pPr>
        <w:rPr>
          <w:lang w:val="sr-Cyrl-BA"/>
        </w:rPr>
      </w:pPr>
      <w:r w:rsidRPr="001538EF">
        <w:tab/>
      </w:r>
      <w:r w:rsidRPr="001538EF">
        <w:tab/>
      </w:r>
      <w:r w:rsidRPr="001538EF">
        <w:tab/>
      </w:r>
      <w:r w:rsidRPr="001538EF">
        <w:tab/>
      </w:r>
      <w:r w:rsidRPr="001538EF">
        <w:tab/>
      </w:r>
      <w:r w:rsidRPr="001538EF">
        <w:tab/>
      </w:r>
      <w:r w:rsidRPr="001538EF">
        <w:tab/>
      </w:r>
      <w:r w:rsidRPr="001538EF">
        <w:tab/>
      </w:r>
      <w:r w:rsidRPr="001538EF">
        <w:tab/>
      </w:r>
      <w:r w:rsidRPr="001538EF">
        <w:tab/>
        <w:t xml:space="preserve"> </w:t>
      </w:r>
    </w:p>
    <w:p w14:paraId="47CB79F8" w14:textId="77777777" w:rsidR="001538EF" w:rsidRPr="001538EF" w:rsidRDefault="001538EF" w:rsidP="001538EF">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p>
    <w:p w14:paraId="6412FD6D" w14:textId="77777777" w:rsidR="001538EF" w:rsidRPr="001538EF" w:rsidRDefault="001538EF" w:rsidP="001538EF">
      <w:pPr>
        <w:rPr>
          <w:lang w:val="sr-Cyrl-BA"/>
        </w:rPr>
      </w:pPr>
    </w:p>
    <w:p w14:paraId="479132BD" w14:textId="77777777" w:rsidR="001538EF" w:rsidRPr="005767EF" w:rsidRDefault="001538EF" w:rsidP="001538EF">
      <w:pPr>
        <w:jc w:val="left"/>
        <w:rPr>
          <w:rFonts w:asciiTheme="minorHAnsi" w:hAnsiTheme="minorHAnsi"/>
          <w:sz w:val="20"/>
          <w:szCs w:val="20"/>
          <w:lang w:val="sr-Cyrl-BA"/>
        </w:rPr>
      </w:pPr>
    </w:p>
    <w:p w14:paraId="285444F8" w14:textId="77777777" w:rsidR="001538EF" w:rsidRPr="005767EF" w:rsidRDefault="001538EF" w:rsidP="001538EF">
      <w:pPr>
        <w:jc w:val="right"/>
        <w:rPr>
          <w:rFonts w:asciiTheme="minorHAnsi" w:hAnsiTheme="minorHAnsi"/>
          <w:sz w:val="20"/>
          <w:szCs w:val="20"/>
          <w:lang w:val="sr-Cyrl-BA"/>
        </w:rPr>
      </w:pPr>
    </w:p>
    <w:p w14:paraId="43E69C6F" w14:textId="77777777" w:rsidR="001538EF" w:rsidRPr="005767EF" w:rsidRDefault="001538EF" w:rsidP="001538EF">
      <w:pPr>
        <w:rPr>
          <w:rFonts w:asciiTheme="minorHAnsi" w:hAnsiTheme="minorHAnsi"/>
          <w:sz w:val="20"/>
          <w:szCs w:val="20"/>
        </w:rPr>
      </w:pPr>
    </w:p>
    <w:p w14:paraId="010C2CF6" w14:textId="77777777" w:rsidR="001538EF" w:rsidRPr="005767EF" w:rsidRDefault="001538EF" w:rsidP="001538EF">
      <w:pPr>
        <w:rPr>
          <w:rFonts w:asciiTheme="minorHAnsi" w:hAnsiTheme="minorHAnsi"/>
          <w:sz w:val="20"/>
          <w:szCs w:val="20"/>
        </w:rPr>
      </w:pPr>
    </w:p>
    <w:p w14:paraId="4B259CA7" w14:textId="77777777" w:rsidR="001538EF" w:rsidRPr="005767EF" w:rsidRDefault="001538EF" w:rsidP="001538EF">
      <w:pPr>
        <w:rPr>
          <w:rFonts w:asciiTheme="minorHAnsi" w:hAnsiTheme="minorHAnsi"/>
          <w:sz w:val="20"/>
          <w:szCs w:val="20"/>
        </w:rPr>
      </w:pPr>
    </w:p>
    <w:p w14:paraId="7CF790DA" w14:textId="77777777" w:rsidR="001538EF" w:rsidRPr="005767EF" w:rsidRDefault="001538EF" w:rsidP="001538EF">
      <w:pPr>
        <w:rPr>
          <w:rFonts w:asciiTheme="minorHAnsi" w:hAnsiTheme="minorHAnsi"/>
          <w:sz w:val="20"/>
          <w:szCs w:val="20"/>
        </w:rPr>
      </w:pPr>
    </w:p>
    <w:p w14:paraId="407CECDD" w14:textId="77777777" w:rsidR="001538EF" w:rsidRPr="005767EF" w:rsidRDefault="001538EF" w:rsidP="001538EF">
      <w:pPr>
        <w:rPr>
          <w:rFonts w:asciiTheme="minorHAnsi" w:hAnsiTheme="minorHAnsi"/>
          <w:sz w:val="20"/>
          <w:szCs w:val="20"/>
        </w:rPr>
      </w:pPr>
    </w:p>
    <w:p w14:paraId="1397A2E5" w14:textId="77777777" w:rsidR="001538EF" w:rsidRPr="005767EF" w:rsidRDefault="001538EF" w:rsidP="001538EF">
      <w:pPr>
        <w:rPr>
          <w:rFonts w:asciiTheme="minorHAnsi" w:hAnsiTheme="minorHAnsi"/>
          <w:sz w:val="20"/>
          <w:szCs w:val="20"/>
        </w:rPr>
      </w:pPr>
    </w:p>
    <w:p w14:paraId="3B50DF0B" w14:textId="77777777" w:rsidR="001538EF" w:rsidRPr="00D368D4" w:rsidRDefault="001538EF" w:rsidP="001538EF">
      <w:pPr>
        <w:rPr>
          <w:rFonts w:asciiTheme="minorHAnsi" w:hAnsiTheme="minorHAnsi"/>
          <w:sz w:val="28"/>
          <w:szCs w:val="28"/>
        </w:rPr>
      </w:pPr>
    </w:p>
    <w:p w14:paraId="590FDB7C" w14:textId="20EE3B49" w:rsidR="00A0401A" w:rsidRPr="00D368D4" w:rsidRDefault="000F6275" w:rsidP="00A531CA">
      <w:pPr>
        <w:jc w:val="center"/>
        <w:rPr>
          <w:rFonts w:asciiTheme="minorHAnsi" w:hAnsiTheme="minorHAnsi"/>
          <w:b/>
          <w:spacing w:val="60"/>
          <w:sz w:val="28"/>
          <w:szCs w:val="28"/>
        </w:rPr>
      </w:pPr>
      <w:r>
        <w:rPr>
          <w:rFonts w:asciiTheme="minorHAnsi" w:hAnsiTheme="minorHAnsi"/>
          <w:b/>
          <w:spacing w:val="60"/>
          <w:sz w:val="28"/>
          <w:szCs w:val="28"/>
        </w:rPr>
        <w:t>IZVJEŠTAJ</w:t>
      </w:r>
    </w:p>
    <w:p w14:paraId="50640EBE" w14:textId="4048E798" w:rsidR="00A0401A" w:rsidRPr="00D368D4" w:rsidRDefault="00A0401A" w:rsidP="00A531CA">
      <w:pPr>
        <w:jc w:val="center"/>
        <w:rPr>
          <w:rFonts w:asciiTheme="minorHAnsi" w:hAnsiTheme="minorHAnsi"/>
          <w:b/>
          <w:spacing w:val="60"/>
          <w:sz w:val="28"/>
          <w:szCs w:val="28"/>
          <w:lang w:val="sr-Cyrl-BA"/>
        </w:rPr>
      </w:pPr>
      <w:r w:rsidRPr="00D368D4">
        <w:rPr>
          <w:rFonts w:asciiTheme="minorHAnsi" w:hAnsiTheme="minorHAnsi"/>
          <w:b/>
          <w:spacing w:val="60"/>
          <w:sz w:val="28"/>
          <w:szCs w:val="28"/>
        </w:rPr>
        <w:t xml:space="preserve"> O </w:t>
      </w:r>
      <w:r w:rsidR="00FF6494">
        <w:rPr>
          <w:rFonts w:asciiTheme="minorHAnsi" w:hAnsiTheme="minorHAnsi"/>
          <w:b/>
          <w:spacing w:val="60"/>
          <w:sz w:val="28"/>
          <w:szCs w:val="28"/>
        </w:rPr>
        <w:t xml:space="preserve">RADU </w:t>
      </w:r>
      <w:r w:rsidRPr="00D368D4">
        <w:rPr>
          <w:rFonts w:asciiTheme="minorHAnsi" w:hAnsiTheme="minorHAnsi"/>
          <w:b/>
          <w:spacing w:val="60"/>
          <w:sz w:val="28"/>
          <w:szCs w:val="28"/>
        </w:rPr>
        <w:t>I PO</w:t>
      </w:r>
      <w:r w:rsidR="00511E73">
        <w:rPr>
          <w:rFonts w:asciiTheme="minorHAnsi" w:hAnsiTheme="minorHAnsi"/>
          <w:b/>
          <w:spacing w:val="60"/>
          <w:sz w:val="28"/>
          <w:szCs w:val="28"/>
        </w:rPr>
        <w:t>S</w:t>
      </w:r>
      <w:r w:rsidR="00FF6494">
        <w:rPr>
          <w:rFonts w:asciiTheme="minorHAnsi" w:hAnsiTheme="minorHAnsi"/>
          <w:b/>
          <w:spacing w:val="60"/>
          <w:sz w:val="28"/>
          <w:szCs w:val="28"/>
        </w:rPr>
        <w:t>LOVANJU</w:t>
      </w:r>
    </w:p>
    <w:p w14:paraId="2996820A" w14:textId="77777777" w:rsidR="00A0401A" w:rsidRPr="00D368D4" w:rsidRDefault="00A0401A" w:rsidP="00A531CA">
      <w:pPr>
        <w:jc w:val="center"/>
        <w:rPr>
          <w:rFonts w:asciiTheme="minorHAnsi" w:hAnsiTheme="minorHAnsi"/>
          <w:b/>
          <w:sz w:val="28"/>
          <w:szCs w:val="28"/>
          <w:lang w:val="sr-Cyrl-RS"/>
        </w:rPr>
      </w:pPr>
      <w:r w:rsidRPr="00D368D4">
        <w:rPr>
          <w:rFonts w:asciiTheme="minorHAnsi" w:hAnsiTheme="minorHAnsi"/>
          <w:b/>
          <w:sz w:val="28"/>
          <w:szCs w:val="28"/>
        </w:rPr>
        <w:t>GARANTNOG FONDA REPUBLIKE SRPSKE A.D.</w:t>
      </w:r>
    </w:p>
    <w:p w14:paraId="0E078C82" w14:textId="77777777" w:rsidR="00A0401A" w:rsidRPr="00D368D4" w:rsidRDefault="00A0401A" w:rsidP="00A531CA">
      <w:pPr>
        <w:jc w:val="center"/>
        <w:rPr>
          <w:rFonts w:asciiTheme="minorHAnsi" w:hAnsiTheme="minorHAnsi"/>
          <w:b/>
          <w:sz w:val="28"/>
          <w:szCs w:val="28"/>
        </w:rPr>
      </w:pPr>
      <w:r w:rsidRPr="00D368D4">
        <w:rPr>
          <w:rFonts w:asciiTheme="minorHAnsi" w:hAnsiTheme="minorHAnsi"/>
          <w:b/>
          <w:sz w:val="28"/>
          <w:szCs w:val="28"/>
        </w:rPr>
        <w:t xml:space="preserve">BANJA LUKA ZA 2023. GODINU </w:t>
      </w:r>
    </w:p>
    <w:p w14:paraId="57F8FBD8" w14:textId="77777777" w:rsidR="001538EF" w:rsidRPr="00D368D4" w:rsidRDefault="001538EF" w:rsidP="001538EF">
      <w:pPr>
        <w:rPr>
          <w:rFonts w:asciiTheme="minorHAnsi" w:hAnsiTheme="minorHAnsi"/>
          <w:sz w:val="28"/>
          <w:szCs w:val="28"/>
        </w:rPr>
      </w:pPr>
    </w:p>
    <w:p w14:paraId="05E277CC" w14:textId="77777777" w:rsidR="001538EF" w:rsidRPr="00D368D4" w:rsidRDefault="001538EF" w:rsidP="001538EF">
      <w:pPr>
        <w:rPr>
          <w:rFonts w:asciiTheme="minorHAnsi" w:hAnsiTheme="minorHAnsi"/>
          <w:sz w:val="28"/>
          <w:szCs w:val="28"/>
        </w:rPr>
      </w:pPr>
    </w:p>
    <w:p w14:paraId="5C1A76EB" w14:textId="77777777" w:rsidR="001538EF" w:rsidRPr="00D368D4" w:rsidRDefault="001538EF" w:rsidP="001538EF">
      <w:pPr>
        <w:rPr>
          <w:rFonts w:asciiTheme="minorHAnsi" w:hAnsiTheme="minorHAnsi"/>
          <w:sz w:val="28"/>
          <w:szCs w:val="28"/>
        </w:rPr>
      </w:pPr>
    </w:p>
    <w:p w14:paraId="7E50FCD8" w14:textId="77777777" w:rsidR="001538EF" w:rsidRPr="005767EF" w:rsidRDefault="001538EF" w:rsidP="001538EF">
      <w:pPr>
        <w:rPr>
          <w:rFonts w:asciiTheme="minorHAnsi" w:hAnsiTheme="minorHAnsi"/>
          <w:sz w:val="20"/>
          <w:szCs w:val="20"/>
        </w:rPr>
      </w:pPr>
    </w:p>
    <w:p w14:paraId="0400E4C1" w14:textId="77777777" w:rsidR="001538EF" w:rsidRPr="005767EF" w:rsidRDefault="001538EF" w:rsidP="001538EF">
      <w:pPr>
        <w:rPr>
          <w:rFonts w:asciiTheme="minorHAnsi" w:hAnsiTheme="minorHAnsi"/>
          <w:sz w:val="20"/>
          <w:szCs w:val="20"/>
        </w:rPr>
      </w:pPr>
    </w:p>
    <w:p w14:paraId="31548460" w14:textId="77777777" w:rsidR="001538EF" w:rsidRPr="005767EF" w:rsidRDefault="001538EF" w:rsidP="001538EF">
      <w:pPr>
        <w:rPr>
          <w:rFonts w:asciiTheme="minorHAnsi" w:hAnsiTheme="minorHAnsi"/>
          <w:sz w:val="20"/>
          <w:szCs w:val="20"/>
        </w:rPr>
      </w:pPr>
    </w:p>
    <w:p w14:paraId="12671C90" w14:textId="77777777" w:rsidR="001538EF" w:rsidRPr="005767EF" w:rsidRDefault="001538EF" w:rsidP="001538EF">
      <w:pPr>
        <w:rPr>
          <w:rFonts w:asciiTheme="minorHAnsi" w:hAnsiTheme="minorHAnsi"/>
          <w:sz w:val="20"/>
          <w:szCs w:val="20"/>
        </w:rPr>
      </w:pPr>
    </w:p>
    <w:p w14:paraId="18BF70F2" w14:textId="77777777" w:rsidR="001538EF" w:rsidRPr="005767EF" w:rsidRDefault="001538EF" w:rsidP="001538EF">
      <w:pPr>
        <w:rPr>
          <w:rFonts w:asciiTheme="minorHAnsi" w:hAnsiTheme="minorHAnsi"/>
          <w:sz w:val="20"/>
          <w:szCs w:val="20"/>
        </w:rPr>
      </w:pPr>
    </w:p>
    <w:p w14:paraId="035CA2F9" w14:textId="77777777" w:rsidR="001538EF" w:rsidRPr="005767EF" w:rsidRDefault="001538EF" w:rsidP="001538EF">
      <w:pPr>
        <w:rPr>
          <w:rFonts w:asciiTheme="minorHAnsi" w:hAnsiTheme="minorHAnsi"/>
          <w:sz w:val="20"/>
          <w:szCs w:val="20"/>
        </w:rPr>
      </w:pPr>
    </w:p>
    <w:p w14:paraId="13E4E0A2" w14:textId="77777777" w:rsidR="001538EF" w:rsidRPr="005767EF" w:rsidRDefault="001538EF" w:rsidP="001538EF">
      <w:pPr>
        <w:rPr>
          <w:rFonts w:asciiTheme="minorHAnsi" w:hAnsiTheme="minorHAnsi"/>
          <w:sz w:val="20"/>
          <w:szCs w:val="20"/>
        </w:rPr>
      </w:pPr>
    </w:p>
    <w:p w14:paraId="4E8A66D7" w14:textId="77777777" w:rsidR="001538EF" w:rsidRPr="005767EF" w:rsidRDefault="001538EF" w:rsidP="001538EF">
      <w:pPr>
        <w:rPr>
          <w:rFonts w:asciiTheme="minorHAnsi" w:hAnsiTheme="minorHAnsi"/>
          <w:sz w:val="20"/>
          <w:szCs w:val="20"/>
          <w:lang w:val="sr-Cyrl-BA"/>
        </w:rPr>
      </w:pPr>
    </w:p>
    <w:p w14:paraId="2E982497" w14:textId="77777777" w:rsidR="001538EF" w:rsidRPr="005767EF" w:rsidRDefault="001538EF" w:rsidP="001538EF">
      <w:pPr>
        <w:rPr>
          <w:rFonts w:asciiTheme="minorHAnsi" w:hAnsiTheme="minorHAnsi"/>
          <w:sz w:val="20"/>
          <w:szCs w:val="20"/>
          <w:lang w:val="sr-Cyrl-BA"/>
        </w:rPr>
      </w:pPr>
    </w:p>
    <w:p w14:paraId="1DC09092" w14:textId="77777777" w:rsidR="001538EF" w:rsidRPr="005767EF" w:rsidRDefault="001538EF" w:rsidP="001538EF">
      <w:pPr>
        <w:rPr>
          <w:rFonts w:asciiTheme="minorHAnsi" w:hAnsiTheme="minorHAnsi"/>
          <w:sz w:val="20"/>
          <w:szCs w:val="20"/>
          <w:lang w:val="sr-Cyrl-BA"/>
        </w:rPr>
      </w:pPr>
    </w:p>
    <w:p w14:paraId="7F76F119" w14:textId="77777777" w:rsidR="001538EF" w:rsidRPr="005767EF" w:rsidRDefault="001538EF" w:rsidP="001538EF">
      <w:pPr>
        <w:rPr>
          <w:rFonts w:asciiTheme="minorHAnsi" w:hAnsiTheme="minorHAnsi"/>
          <w:sz w:val="20"/>
          <w:szCs w:val="20"/>
          <w:lang w:val="sr-Cyrl-BA"/>
        </w:rPr>
      </w:pPr>
    </w:p>
    <w:p w14:paraId="110C57E7" w14:textId="77777777" w:rsidR="001538EF" w:rsidRPr="005767EF" w:rsidRDefault="001538EF" w:rsidP="001538EF">
      <w:pPr>
        <w:rPr>
          <w:rFonts w:asciiTheme="minorHAnsi" w:hAnsiTheme="minorHAnsi"/>
          <w:sz w:val="20"/>
          <w:szCs w:val="20"/>
          <w:lang w:val="sr-Cyrl-BA"/>
        </w:rPr>
      </w:pPr>
    </w:p>
    <w:p w14:paraId="2194EA4C" w14:textId="77777777" w:rsidR="001538EF" w:rsidRPr="005767EF" w:rsidRDefault="001538EF" w:rsidP="001538EF">
      <w:pPr>
        <w:rPr>
          <w:rFonts w:asciiTheme="minorHAnsi" w:hAnsiTheme="minorHAnsi"/>
          <w:sz w:val="20"/>
          <w:szCs w:val="20"/>
          <w:lang w:val="sr-Cyrl-BA"/>
        </w:rPr>
      </w:pPr>
    </w:p>
    <w:p w14:paraId="68ED33FB" w14:textId="77777777" w:rsidR="001538EF" w:rsidRPr="005767EF" w:rsidRDefault="001538EF" w:rsidP="001538EF">
      <w:pPr>
        <w:rPr>
          <w:rFonts w:asciiTheme="minorHAnsi" w:hAnsiTheme="minorHAnsi"/>
          <w:sz w:val="20"/>
          <w:szCs w:val="20"/>
          <w:lang w:val="sr-Cyrl-BA"/>
        </w:rPr>
      </w:pPr>
    </w:p>
    <w:p w14:paraId="6EF0243C" w14:textId="77777777" w:rsidR="001538EF" w:rsidRPr="005767EF" w:rsidRDefault="001538EF" w:rsidP="001538EF">
      <w:pPr>
        <w:rPr>
          <w:rFonts w:asciiTheme="minorHAnsi" w:hAnsiTheme="minorHAnsi"/>
          <w:sz w:val="20"/>
          <w:szCs w:val="20"/>
          <w:lang w:val="sr-Cyrl-BA"/>
        </w:rPr>
      </w:pPr>
    </w:p>
    <w:p w14:paraId="0DAAFBE6" w14:textId="77777777" w:rsidR="001538EF" w:rsidRDefault="001538EF" w:rsidP="001538EF">
      <w:pPr>
        <w:rPr>
          <w:rFonts w:asciiTheme="minorHAnsi" w:hAnsiTheme="minorHAnsi"/>
          <w:sz w:val="20"/>
          <w:szCs w:val="20"/>
          <w:lang w:val="sr-Cyrl-BA"/>
        </w:rPr>
      </w:pPr>
    </w:p>
    <w:p w14:paraId="738E61D2" w14:textId="77777777" w:rsidR="00545FA4" w:rsidRDefault="00545FA4" w:rsidP="001538EF">
      <w:pPr>
        <w:rPr>
          <w:rFonts w:asciiTheme="minorHAnsi" w:hAnsiTheme="minorHAnsi"/>
          <w:sz w:val="20"/>
          <w:szCs w:val="20"/>
          <w:lang w:val="sr-Cyrl-BA"/>
        </w:rPr>
      </w:pPr>
    </w:p>
    <w:p w14:paraId="384BA921" w14:textId="77777777" w:rsidR="00545FA4" w:rsidRDefault="00545FA4" w:rsidP="001538EF">
      <w:pPr>
        <w:rPr>
          <w:rFonts w:asciiTheme="minorHAnsi" w:hAnsiTheme="minorHAnsi"/>
          <w:sz w:val="20"/>
          <w:szCs w:val="20"/>
          <w:lang w:val="sr-Cyrl-BA"/>
        </w:rPr>
      </w:pPr>
    </w:p>
    <w:p w14:paraId="49A429EF" w14:textId="77777777" w:rsidR="00545FA4" w:rsidRDefault="00545FA4" w:rsidP="001538EF">
      <w:pPr>
        <w:rPr>
          <w:rFonts w:asciiTheme="minorHAnsi" w:hAnsiTheme="minorHAnsi"/>
          <w:sz w:val="20"/>
          <w:szCs w:val="20"/>
          <w:lang w:val="sr-Cyrl-BA"/>
        </w:rPr>
      </w:pPr>
    </w:p>
    <w:p w14:paraId="39E99296" w14:textId="77777777" w:rsidR="00545FA4" w:rsidRDefault="00545FA4" w:rsidP="001538EF">
      <w:pPr>
        <w:rPr>
          <w:rFonts w:asciiTheme="minorHAnsi" w:hAnsiTheme="minorHAnsi"/>
          <w:sz w:val="20"/>
          <w:szCs w:val="20"/>
          <w:lang w:val="sr-Cyrl-BA"/>
        </w:rPr>
      </w:pPr>
    </w:p>
    <w:p w14:paraId="50A95963" w14:textId="77777777" w:rsidR="00545FA4" w:rsidRDefault="00545FA4" w:rsidP="001538EF">
      <w:pPr>
        <w:rPr>
          <w:rFonts w:asciiTheme="minorHAnsi" w:hAnsiTheme="minorHAnsi"/>
          <w:sz w:val="20"/>
          <w:szCs w:val="20"/>
          <w:lang w:val="sr-Cyrl-BA"/>
        </w:rPr>
      </w:pPr>
    </w:p>
    <w:p w14:paraId="0BD6FD17" w14:textId="77777777" w:rsidR="00545FA4" w:rsidRDefault="00545FA4" w:rsidP="001538EF">
      <w:pPr>
        <w:rPr>
          <w:rFonts w:asciiTheme="minorHAnsi" w:hAnsiTheme="minorHAnsi"/>
          <w:sz w:val="20"/>
          <w:szCs w:val="20"/>
          <w:lang w:val="sr-Cyrl-BA"/>
        </w:rPr>
      </w:pPr>
    </w:p>
    <w:p w14:paraId="51B811D4" w14:textId="77777777" w:rsidR="00545FA4" w:rsidRDefault="00545FA4" w:rsidP="001538EF">
      <w:pPr>
        <w:rPr>
          <w:rFonts w:asciiTheme="minorHAnsi" w:hAnsiTheme="minorHAnsi"/>
          <w:sz w:val="20"/>
          <w:szCs w:val="20"/>
          <w:lang w:val="sr-Cyrl-BA"/>
        </w:rPr>
      </w:pPr>
    </w:p>
    <w:p w14:paraId="1D90CDE1" w14:textId="77777777" w:rsidR="001538EF" w:rsidRPr="007B2869" w:rsidRDefault="001538EF" w:rsidP="001538EF">
      <w:pPr>
        <w:rPr>
          <w:rFonts w:asciiTheme="minorHAnsi" w:hAnsiTheme="minorHAnsi"/>
          <w:sz w:val="20"/>
          <w:szCs w:val="20"/>
          <w:lang w:val="sr-Cyrl-RS"/>
        </w:rPr>
      </w:pPr>
    </w:p>
    <w:p w14:paraId="7B00D52B" w14:textId="77777777" w:rsidR="00A0401A" w:rsidRPr="005767EF" w:rsidRDefault="00A0401A" w:rsidP="006B2BA6">
      <w:pPr>
        <w:jc w:val="center"/>
        <w:rPr>
          <w:rFonts w:asciiTheme="minorHAnsi" w:hAnsiTheme="minorHAnsi"/>
          <w:sz w:val="20"/>
          <w:szCs w:val="20"/>
          <w:lang w:val="sr-Cyrl-BA"/>
        </w:rPr>
      </w:pPr>
      <w:r w:rsidRPr="005767EF">
        <w:rPr>
          <w:rFonts w:asciiTheme="minorHAnsi" w:hAnsiTheme="minorHAnsi"/>
          <w:sz w:val="20"/>
          <w:szCs w:val="20"/>
        </w:rPr>
        <w:t>BANJA LUKA, jun 2024. godine</w:t>
      </w:r>
    </w:p>
    <w:p w14:paraId="73D775DE" w14:textId="77777777" w:rsidR="001538EF" w:rsidRPr="005767EF" w:rsidRDefault="001538EF" w:rsidP="001538EF">
      <w:pPr>
        <w:rPr>
          <w:rFonts w:asciiTheme="minorHAnsi" w:hAnsiTheme="minorHAnsi"/>
          <w:sz w:val="20"/>
          <w:szCs w:val="20"/>
        </w:rPr>
      </w:pPr>
    </w:p>
    <w:p w14:paraId="2BD1C45B" w14:textId="77777777" w:rsidR="001538EF" w:rsidRPr="005767EF" w:rsidRDefault="001538EF" w:rsidP="001538EF">
      <w:pPr>
        <w:rPr>
          <w:rFonts w:asciiTheme="minorHAnsi" w:hAnsiTheme="minorHAnsi"/>
          <w:sz w:val="20"/>
          <w:szCs w:val="20"/>
        </w:rPr>
      </w:pPr>
    </w:p>
    <w:p w14:paraId="29669088" w14:textId="77777777" w:rsidR="001538EF" w:rsidRPr="005767EF" w:rsidRDefault="001538EF" w:rsidP="001538EF">
      <w:pPr>
        <w:jc w:val="center"/>
        <w:rPr>
          <w:rFonts w:asciiTheme="minorHAnsi" w:hAnsiTheme="minorHAnsi"/>
          <w:b/>
          <w:sz w:val="20"/>
          <w:szCs w:val="20"/>
          <w:lang w:val="sr-Cyrl-BA"/>
        </w:rPr>
      </w:pPr>
    </w:p>
    <w:p w14:paraId="005D166A" w14:textId="77777777" w:rsidR="00DE7069" w:rsidRDefault="00DE7069" w:rsidP="0093247B">
      <w:pPr>
        <w:jc w:val="center"/>
        <w:rPr>
          <w:rFonts w:asciiTheme="minorHAnsi" w:hAnsiTheme="minorHAnsi"/>
          <w:b/>
          <w:sz w:val="20"/>
          <w:szCs w:val="20"/>
        </w:rPr>
      </w:pPr>
    </w:p>
    <w:p w14:paraId="7B3E2D39" w14:textId="77777777" w:rsidR="00DE7069" w:rsidRDefault="00DE7069" w:rsidP="0093247B">
      <w:pPr>
        <w:jc w:val="center"/>
        <w:rPr>
          <w:rFonts w:asciiTheme="minorHAnsi" w:hAnsiTheme="minorHAnsi"/>
          <w:b/>
          <w:sz w:val="20"/>
          <w:szCs w:val="20"/>
        </w:rPr>
      </w:pPr>
    </w:p>
    <w:p w14:paraId="71505CAE" w14:textId="0B8B54BA" w:rsidR="00A0401A" w:rsidRPr="005767EF" w:rsidRDefault="00A0401A" w:rsidP="0093247B">
      <w:pPr>
        <w:jc w:val="center"/>
        <w:rPr>
          <w:rFonts w:asciiTheme="minorHAnsi" w:hAnsiTheme="minorHAnsi"/>
          <w:b/>
          <w:sz w:val="20"/>
          <w:szCs w:val="20"/>
          <w:lang w:val="sr-Cyrl-BA"/>
        </w:rPr>
      </w:pPr>
      <w:r w:rsidRPr="005767EF">
        <w:rPr>
          <w:rFonts w:asciiTheme="minorHAnsi" w:hAnsiTheme="minorHAnsi"/>
          <w:b/>
          <w:sz w:val="20"/>
          <w:szCs w:val="20"/>
        </w:rPr>
        <w:t xml:space="preserve">S A D R Ž A Ј </w:t>
      </w:r>
    </w:p>
    <w:p w14:paraId="0AD68EB2" w14:textId="77777777" w:rsidR="001538EF" w:rsidRPr="005767EF" w:rsidRDefault="001538EF" w:rsidP="001538EF">
      <w:pPr>
        <w:rPr>
          <w:rFonts w:asciiTheme="minorHAnsi" w:hAnsiTheme="minorHAnsi"/>
          <w:sz w:val="20"/>
          <w:szCs w:val="20"/>
          <w:lang w:val="sr-Cyrl-BA"/>
        </w:rPr>
      </w:pPr>
    </w:p>
    <w:p w14:paraId="642D087F" w14:textId="77777777" w:rsidR="001538EF" w:rsidRPr="005767EF" w:rsidRDefault="001538EF" w:rsidP="001538EF">
      <w:pPr>
        <w:rPr>
          <w:rFonts w:asciiTheme="minorHAnsi" w:hAnsiTheme="minorHAnsi"/>
          <w:sz w:val="20"/>
          <w:szCs w:val="20"/>
        </w:rPr>
      </w:pPr>
    </w:p>
    <w:p w14:paraId="2EABD511" w14:textId="77777777" w:rsidR="001538EF" w:rsidRPr="005767EF" w:rsidRDefault="001538EF" w:rsidP="001538EF">
      <w:pPr>
        <w:rPr>
          <w:rFonts w:asciiTheme="minorHAnsi" w:hAnsiTheme="minorHAnsi"/>
          <w:sz w:val="20"/>
          <w:szCs w:val="20"/>
        </w:rPr>
      </w:pPr>
    </w:p>
    <w:p w14:paraId="1119BA5B" w14:textId="77777777" w:rsidR="001538EF" w:rsidRPr="005767EF" w:rsidRDefault="001538EF" w:rsidP="001538EF">
      <w:pPr>
        <w:autoSpaceDE w:val="0"/>
        <w:autoSpaceDN w:val="0"/>
        <w:adjustRightInd w:val="0"/>
        <w:jc w:val="left"/>
        <w:rPr>
          <w:rFonts w:asciiTheme="minorHAnsi" w:eastAsiaTheme="minorHAnsi" w:hAnsiTheme="minorHAnsi"/>
          <w:color w:val="auto"/>
          <w:sz w:val="20"/>
          <w:szCs w:val="20"/>
          <w:lang w:val="sr-Cyrl-BA" w:eastAsia="en-US"/>
        </w:rPr>
      </w:pPr>
    </w:p>
    <w:sdt>
      <w:sdtPr>
        <w:rPr>
          <w:rFonts w:asciiTheme="minorHAnsi" w:hAnsiTheme="minorHAnsi"/>
          <w:sz w:val="20"/>
          <w:szCs w:val="20"/>
        </w:rPr>
        <w:id w:val="1009410468"/>
        <w:docPartObj>
          <w:docPartGallery w:val="Table of Contents"/>
          <w:docPartUnique/>
        </w:docPartObj>
      </w:sdtPr>
      <w:sdtEndPr>
        <w:rPr>
          <w:b/>
          <w:bCs/>
          <w:noProof/>
        </w:rPr>
      </w:sdtEndPr>
      <w:sdtContent>
        <w:p w14:paraId="230EEBFC" w14:textId="77777777" w:rsidR="001538EF" w:rsidRPr="005767EF" w:rsidRDefault="001538EF" w:rsidP="001538EF">
          <w:pPr>
            <w:rPr>
              <w:rFonts w:asciiTheme="minorHAnsi" w:hAnsiTheme="minorHAnsi"/>
              <w:sz w:val="20"/>
              <w:szCs w:val="20"/>
            </w:rPr>
          </w:pPr>
        </w:p>
        <w:p w14:paraId="0E7FDB7F" w14:textId="45CB1688" w:rsidR="001538EF" w:rsidRPr="005767EF" w:rsidRDefault="001538EF" w:rsidP="005D0BE8">
          <w:pPr>
            <w:pStyle w:val="TOC1"/>
            <w:tabs>
              <w:tab w:val="clear" w:pos="284"/>
              <w:tab w:val="left" w:pos="426"/>
              <w:tab w:val="left" w:pos="709"/>
            </w:tabs>
            <w:rPr>
              <w:rFonts w:eastAsiaTheme="minorEastAsia"/>
              <w:noProof/>
              <w:color w:val="auto"/>
              <w:lang w:val="sr-Latn-RS" w:eastAsia="sr-Latn-RS"/>
            </w:rPr>
          </w:pPr>
          <w:r w:rsidRPr="005767EF">
            <w:fldChar w:fldCharType="begin"/>
          </w:r>
          <w:r w:rsidRPr="005767EF">
            <w:instrText xml:space="preserve"> TOC \o "1-3" \h \z \u </w:instrText>
          </w:r>
          <w:r w:rsidRPr="005767EF">
            <w:fldChar w:fldCharType="separate"/>
          </w:r>
          <w:hyperlink w:anchor="_Toc135292166" w:history="1">
            <w:r w:rsidR="005D0BE8">
              <w:rPr>
                <w:rStyle w:val="Hyperlink"/>
                <w:noProof/>
                <w:szCs w:val="20"/>
              </w:rPr>
              <w:t xml:space="preserve">          </w:t>
            </w:r>
            <w:r w:rsidR="00FF6494">
              <w:rPr>
                <w:rStyle w:val="Hyperlink"/>
                <w:noProof/>
                <w:szCs w:val="20"/>
              </w:rPr>
              <w:t>UVOD</w:t>
            </w:r>
            <w:r w:rsidRPr="005767EF">
              <w:rPr>
                <w:noProof/>
                <w:webHidden/>
              </w:rPr>
              <w:tab/>
            </w:r>
            <w:r w:rsidRPr="005767EF">
              <w:rPr>
                <w:noProof/>
                <w:webHidden/>
              </w:rPr>
              <w:fldChar w:fldCharType="begin"/>
            </w:r>
            <w:r w:rsidRPr="005767EF">
              <w:rPr>
                <w:noProof/>
                <w:webHidden/>
              </w:rPr>
              <w:instrText xml:space="preserve"> PAGEREF _Toc135292166 \h </w:instrText>
            </w:r>
            <w:r w:rsidRPr="005767EF">
              <w:rPr>
                <w:noProof/>
                <w:webHidden/>
              </w:rPr>
            </w:r>
            <w:r w:rsidRPr="005767EF">
              <w:rPr>
                <w:noProof/>
                <w:webHidden/>
              </w:rPr>
              <w:fldChar w:fldCharType="separate"/>
            </w:r>
            <w:r w:rsidR="00DE7069">
              <w:rPr>
                <w:noProof/>
                <w:webHidden/>
              </w:rPr>
              <w:t>3</w:t>
            </w:r>
            <w:r w:rsidRPr="005767EF">
              <w:rPr>
                <w:noProof/>
                <w:webHidden/>
              </w:rPr>
              <w:fldChar w:fldCharType="end"/>
            </w:r>
          </w:hyperlink>
        </w:p>
        <w:p w14:paraId="5A144C69" w14:textId="6E75A75B" w:rsidR="001538EF" w:rsidRPr="005767EF" w:rsidRDefault="00A52A18" w:rsidP="005D0BE8">
          <w:pPr>
            <w:pStyle w:val="TOC1"/>
            <w:tabs>
              <w:tab w:val="clear" w:pos="284"/>
              <w:tab w:val="left" w:pos="426"/>
              <w:tab w:val="left" w:pos="709"/>
            </w:tabs>
            <w:rPr>
              <w:rFonts w:eastAsiaTheme="minorEastAsia"/>
              <w:noProof/>
              <w:color w:val="auto"/>
              <w:lang w:val="sr-Latn-RS" w:eastAsia="sr-Latn-RS"/>
            </w:rPr>
          </w:pPr>
          <w:hyperlink w:anchor="_Toc135292167" w:history="1">
            <w:r w:rsidR="005D0BE8">
              <w:rPr>
                <w:rStyle w:val="Hyperlink"/>
                <w:rFonts w:eastAsiaTheme="minorHAnsi"/>
                <w:noProof/>
                <w:szCs w:val="20"/>
              </w:rPr>
              <w:t>1 ORGANIZACIJA I NAČIN RADA GARANTNOG FONDA REPUBLIKE SRPSKE</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_Toc135292167 \h </w:instrText>
            </w:r>
            <w:r w:rsidR="001538EF" w:rsidRPr="005767EF">
              <w:rPr>
                <w:noProof/>
                <w:webHidden/>
              </w:rPr>
            </w:r>
            <w:r w:rsidR="001538EF" w:rsidRPr="005767EF">
              <w:rPr>
                <w:noProof/>
                <w:webHidden/>
              </w:rPr>
              <w:fldChar w:fldCharType="separate"/>
            </w:r>
            <w:r w:rsidR="00DE7069">
              <w:rPr>
                <w:noProof/>
                <w:webHidden/>
              </w:rPr>
              <w:t>3</w:t>
            </w:r>
            <w:r w:rsidR="001538EF" w:rsidRPr="005767EF">
              <w:rPr>
                <w:noProof/>
                <w:webHidden/>
              </w:rPr>
              <w:fldChar w:fldCharType="end"/>
            </w:r>
          </w:hyperlink>
        </w:p>
        <w:p w14:paraId="57C4379A" w14:textId="4E09B8F1" w:rsidR="001538EF" w:rsidRPr="005767EF" w:rsidRDefault="00A52A18" w:rsidP="005D0BE8">
          <w:pPr>
            <w:pStyle w:val="TOC1"/>
            <w:tabs>
              <w:tab w:val="clear" w:pos="284"/>
              <w:tab w:val="left" w:pos="426"/>
              <w:tab w:val="left" w:pos="709"/>
            </w:tabs>
            <w:rPr>
              <w:rFonts w:eastAsiaTheme="minorEastAsia"/>
              <w:noProof/>
              <w:color w:val="auto"/>
              <w:lang w:val="sr-Latn-RS" w:eastAsia="sr-Latn-RS"/>
            </w:rPr>
          </w:pPr>
          <w:hyperlink w:anchor="_Toc135292168" w:history="1">
            <w:r w:rsidR="005D0BE8">
              <w:rPr>
                <w:rStyle w:val="Hyperlink"/>
                <w:rFonts w:eastAsiaTheme="minorHAnsi"/>
                <w:noProof/>
                <w:szCs w:val="20"/>
              </w:rPr>
              <w:t>2 ANALIZA IZDANIH GARANCIJA U 2023. GODINI</w:t>
            </w:r>
            <w:r w:rsidR="001538EF" w:rsidRPr="005767EF">
              <w:rPr>
                <w:noProof/>
                <w:webHidden/>
              </w:rPr>
              <w:tab/>
            </w:r>
            <w:r w:rsidR="002D36EA">
              <w:rPr>
                <w:noProof/>
                <w:webHidden/>
              </w:rPr>
              <w:t>4</w:t>
            </w:r>
          </w:hyperlink>
        </w:p>
        <w:p w14:paraId="1D95F886" w14:textId="10ABBBCF" w:rsidR="001538EF" w:rsidRPr="005767EF" w:rsidRDefault="005D0BE8" w:rsidP="00BC5934">
          <w:pPr>
            <w:pStyle w:val="TOC2"/>
            <w:rPr>
              <w:rFonts w:eastAsiaTheme="minorEastAsia"/>
              <w:noProof/>
              <w:color w:val="auto"/>
              <w:lang w:val="sr-Latn-RS" w:eastAsia="sr-Latn-RS"/>
            </w:rPr>
          </w:pPr>
          <w:r>
            <w:t xml:space="preserve">   </w:t>
          </w:r>
          <w:hyperlink w:anchor="_Toc135292169" w:history="1">
            <w:r>
              <w:rPr>
                <w:rStyle w:val="Hyperlink"/>
                <w:noProof/>
                <w:szCs w:val="20"/>
              </w:rPr>
              <w:t>2.1</w:t>
            </w:r>
            <w:r w:rsidR="001538EF" w:rsidRPr="005767EF">
              <w:rPr>
                <w:rFonts w:eastAsiaTheme="minorEastAsia"/>
                <w:noProof/>
                <w:color w:val="auto"/>
                <w:lang w:eastAsia="sr-Latn-RS"/>
              </w:rPr>
              <w:tab/>
            </w:r>
            <w:r w:rsidRPr="005D0BE8">
              <w:t>ANALIZA IZDANIH GARANCIJA U OKVIRU GARANTNIH LINIJA U PERIODU 01.01.2023. - 31.12.2023. GODINE</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_Toc135292169 \h </w:instrText>
            </w:r>
            <w:r w:rsidR="001538EF" w:rsidRPr="005767EF">
              <w:rPr>
                <w:noProof/>
                <w:webHidden/>
              </w:rPr>
            </w:r>
            <w:r w:rsidR="001538EF" w:rsidRPr="005767EF">
              <w:rPr>
                <w:noProof/>
                <w:webHidden/>
              </w:rPr>
              <w:fldChar w:fldCharType="separate"/>
            </w:r>
            <w:r w:rsidR="00DE7069">
              <w:rPr>
                <w:noProof/>
                <w:webHidden/>
              </w:rPr>
              <w:t>4</w:t>
            </w:r>
            <w:r w:rsidR="001538EF" w:rsidRPr="005767EF">
              <w:rPr>
                <w:noProof/>
                <w:webHidden/>
              </w:rPr>
              <w:fldChar w:fldCharType="end"/>
            </w:r>
          </w:hyperlink>
        </w:p>
        <w:p w14:paraId="1D6BDD89" w14:textId="302597CA" w:rsidR="001538EF" w:rsidRPr="00444987" w:rsidRDefault="005D0BE8" w:rsidP="00BC5934">
          <w:pPr>
            <w:pStyle w:val="TOC2"/>
            <w:rPr>
              <w:rFonts w:eastAsiaTheme="minorEastAsia"/>
              <w:noProof/>
              <w:color w:val="auto"/>
              <w:lang w:val="sr-Cyrl-RS" w:eastAsia="sr-Latn-RS"/>
            </w:rPr>
          </w:pPr>
          <w:r>
            <w:t xml:space="preserve">  </w:t>
          </w:r>
          <w:hyperlink w:anchor="_Toc135292170" w:history="1">
            <w:r>
              <w:rPr>
                <w:rStyle w:val="Hyperlink"/>
                <w:noProof/>
                <w:szCs w:val="20"/>
              </w:rPr>
              <w:t>2.2</w:t>
            </w:r>
            <w:r w:rsidR="001538EF" w:rsidRPr="005767EF">
              <w:rPr>
                <w:rFonts w:eastAsiaTheme="minorEastAsia"/>
                <w:noProof/>
                <w:color w:val="auto"/>
                <w:lang w:eastAsia="sr-Latn-RS"/>
              </w:rPr>
              <w:tab/>
            </w:r>
            <w:r w:rsidR="001538EF" w:rsidRPr="005767EF">
              <w:rPr>
                <w:rStyle w:val="Hyperlink"/>
                <w:noProof/>
                <w:szCs w:val="20"/>
              </w:rPr>
              <w:t>ANALIZA IZDANIH GARANCIJA U OKVIRU KREDITNOG PORTFOLIJA FINANSIJSKIH POSREDNIKA</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_Toc135292170 \h </w:instrText>
            </w:r>
            <w:r w:rsidR="001538EF" w:rsidRPr="005767EF">
              <w:rPr>
                <w:noProof/>
                <w:webHidden/>
              </w:rPr>
            </w:r>
            <w:r w:rsidR="001538EF" w:rsidRPr="005767EF">
              <w:rPr>
                <w:noProof/>
                <w:webHidden/>
              </w:rPr>
              <w:fldChar w:fldCharType="separate"/>
            </w:r>
            <w:r w:rsidR="00DE7069">
              <w:rPr>
                <w:noProof/>
                <w:webHidden/>
              </w:rPr>
              <w:t>1</w:t>
            </w:r>
            <w:r w:rsidR="001538EF" w:rsidRPr="005767EF">
              <w:rPr>
                <w:noProof/>
                <w:webHidden/>
              </w:rPr>
              <w:fldChar w:fldCharType="end"/>
            </w:r>
          </w:hyperlink>
          <w:r w:rsidR="00BE15F9">
            <w:rPr>
              <w:noProof/>
            </w:rPr>
            <w:t>1</w:t>
          </w:r>
        </w:p>
        <w:p w14:paraId="4E1E94BB" w14:textId="77777777" w:rsidR="001538EF" w:rsidRPr="00EA08D5" w:rsidRDefault="00EA08D5" w:rsidP="00BC5934">
          <w:pPr>
            <w:pStyle w:val="TOC2"/>
            <w:rPr>
              <w:rFonts w:eastAsiaTheme="minorEastAsia"/>
              <w:noProof/>
              <w:color w:val="auto"/>
              <w:lang w:val="sr-Cyrl-RS" w:eastAsia="sr-Latn-RS"/>
            </w:rPr>
          </w:pPr>
          <w:r>
            <w:t xml:space="preserve">  </w:t>
          </w:r>
          <w:hyperlink w:anchor="_Toc135292171" w:history="1">
            <w:r w:rsidR="005D0BE8">
              <w:rPr>
                <w:rStyle w:val="Hyperlink"/>
                <w:noProof/>
                <w:szCs w:val="20"/>
              </w:rPr>
              <w:t>2.3</w:t>
            </w:r>
            <w:r w:rsidR="001538EF" w:rsidRPr="005767EF">
              <w:rPr>
                <w:rFonts w:eastAsiaTheme="minorEastAsia"/>
                <w:noProof/>
                <w:color w:val="auto"/>
                <w:lang w:eastAsia="sr-Latn-RS"/>
              </w:rPr>
              <w:tab/>
            </w:r>
            <w:r w:rsidRPr="00EA08D5">
              <w:rPr>
                <w:rFonts w:eastAsiaTheme="minorEastAsia"/>
                <w:noProof/>
                <w:color w:val="auto"/>
                <w:lang w:eastAsia="sr-Latn-RS"/>
              </w:rPr>
              <w:t>ANALIZA IZDANIH GARANCIJA</w:t>
            </w:r>
          </w:hyperlink>
          <w:r>
            <w:rPr>
              <w:noProof/>
            </w:rPr>
            <w:t xml:space="preserve"> NA EMITOVANE HARTIJE OD VRIJEDNOSTI.............................. 16</w:t>
          </w:r>
        </w:p>
        <w:p w14:paraId="063C9A1C" w14:textId="60F0D9BD" w:rsidR="001538EF" w:rsidRPr="005767EF" w:rsidRDefault="00EA08D5" w:rsidP="00BC5934">
          <w:pPr>
            <w:pStyle w:val="TOC2"/>
            <w:rPr>
              <w:rFonts w:eastAsiaTheme="minorEastAsia"/>
              <w:noProof/>
              <w:color w:val="auto"/>
              <w:lang w:val="sr-Latn-RS" w:eastAsia="sr-Latn-RS"/>
            </w:rPr>
          </w:pPr>
          <w:r>
            <w:t xml:space="preserve">  </w:t>
          </w:r>
          <w:hyperlink w:anchor="_Toc135292172" w:history="1">
            <w:r w:rsidR="005D0BE8">
              <w:rPr>
                <w:rStyle w:val="Hyperlink"/>
                <w:noProof/>
                <w:szCs w:val="20"/>
              </w:rPr>
              <w:t>2.4</w:t>
            </w:r>
            <w:r w:rsidR="001538EF" w:rsidRPr="005767EF">
              <w:rPr>
                <w:rFonts w:eastAsiaTheme="minorEastAsia"/>
                <w:noProof/>
                <w:color w:val="auto"/>
                <w:lang w:eastAsia="sr-Latn-RS"/>
              </w:rPr>
              <w:tab/>
            </w:r>
          </w:hyperlink>
          <w:r w:rsidRPr="00EA08D5">
            <w:rPr>
              <w:noProof/>
            </w:rPr>
            <w:t>ANALIZA IZLOŽENOSTI GARANTNOG</w:t>
          </w:r>
          <w:r w:rsidR="00FF6494">
            <w:rPr>
              <w:noProof/>
            </w:rPr>
            <w:t xml:space="preserve"> </w:t>
          </w:r>
          <w:r w:rsidRPr="00EA08D5">
            <w:rPr>
              <w:noProof/>
            </w:rPr>
            <w:t>FONDA REPUBLIKE SRPSKE PREMA FINANSIJSKIM POSREDNICIMA NA DAN 31.12.2023.</w:t>
          </w:r>
          <w:r w:rsidRPr="00EA08D5">
            <w:rPr>
              <w:noProof/>
              <w:webHidden/>
            </w:rPr>
            <w:tab/>
          </w:r>
          <w:r w:rsidRPr="00EA08D5">
            <w:rPr>
              <w:noProof/>
              <w:webHidden/>
            </w:rPr>
            <w:fldChar w:fldCharType="begin"/>
          </w:r>
          <w:r w:rsidRPr="00EA08D5">
            <w:rPr>
              <w:noProof/>
              <w:webHidden/>
            </w:rPr>
            <w:instrText xml:space="preserve"> PAGEREF _Toc135292171 \h </w:instrText>
          </w:r>
          <w:r w:rsidRPr="00EA08D5">
            <w:rPr>
              <w:noProof/>
              <w:webHidden/>
            </w:rPr>
          </w:r>
          <w:r w:rsidRPr="00EA08D5">
            <w:rPr>
              <w:noProof/>
              <w:webHidden/>
            </w:rPr>
            <w:fldChar w:fldCharType="separate"/>
          </w:r>
          <w:r w:rsidR="00DE7069">
            <w:rPr>
              <w:noProof/>
              <w:webHidden/>
            </w:rPr>
            <w:t>17</w:t>
          </w:r>
          <w:r w:rsidRPr="00EA08D5">
            <w:rPr>
              <w:noProof/>
              <w:webHidden/>
            </w:rPr>
            <w:fldChar w:fldCharType="end"/>
          </w:r>
        </w:p>
        <w:p w14:paraId="5DF0E548" w14:textId="1024F252" w:rsidR="001538EF" w:rsidRPr="005767EF" w:rsidRDefault="00BC5934" w:rsidP="00BC5934">
          <w:pPr>
            <w:pStyle w:val="TOC2"/>
            <w:rPr>
              <w:rFonts w:eastAsiaTheme="minorEastAsia"/>
              <w:noProof/>
              <w:color w:val="auto"/>
              <w:lang w:val="sr-Latn-RS" w:eastAsia="sr-Latn-RS"/>
            </w:rPr>
          </w:pPr>
          <w:r>
            <w:t xml:space="preserve">  </w:t>
          </w:r>
          <w:hyperlink w:anchor="_Toc135292173" w:history="1">
            <w:r w:rsidR="005D0BE8">
              <w:rPr>
                <w:rStyle w:val="Hyperlink"/>
                <w:caps/>
                <w:noProof/>
                <w:szCs w:val="20"/>
                <w:lang w:eastAsia="en-US"/>
              </w:rPr>
              <w:t>2.5</w:t>
            </w:r>
            <w:r w:rsidR="001538EF" w:rsidRPr="005767EF">
              <w:rPr>
                <w:rFonts w:eastAsiaTheme="minorEastAsia"/>
                <w:noProof/>
                <w:color w:val="auto"/>
                <w:lang w:eastAsia="sr-Latn-RS"/>
              </w:rPr>
              <w:tab/>
            </w:r>
            <w:r>
              <w:rPr>
                <w:rFonts w:eastAsiaTheme="minorEastAsia"/>
                <w:noProof/>
                <w:color w:val="auto"/>
                <w:lang w:eastAsia="sr-Latn-RS"/>
              </w:rPr>
              <w:t xml:space="preserve"> </w:t>
            </w:r>
            <w:r w:rsidR="001538EF" w:rsidRPr="005767EF">
              <w:rPr>
                <w:rStyle w:val="Hyperlink"/>
                <w:caps/>
                <w:noProof/>
                <w:szCs w:val="20"/>
              </w:rPr>
              <w:t>analiza izdanih garancija iz GARANTNOG progr</w:t>
            </w:r>
            <w:r w:rsidR="002D36EA">
              <w:rPr>
                <w:rStyle w:val="Hyperlink"/>
                <w:caps/>
                <w:noProof/>
                <w:szCs w:val="20"/>
              </w:rPr>
              <w:t>ama COVID-19 na dan 31.12.2023.</w:t>
            </w:r>
            <w:r w:rsidR="001538EF" w:rsidRPr="005767EF">
              <w:rPr>
                <w:rStyle w:val="Hyperlink"/>
                <w:caps/>
                <w:noProof/>
                <w:szCs w:val="20"/>
              </w:rPr>
              <w:t>godine</w:t>
            </w:r>
            <w:r w:rsidR="002D36EA">
              <w:rPr>
                <w:rStyle w:val="Hyperlink"/>
                <w:caps/>
                <w:noProof/>
                <w:szCs w:val="20"/>
              </w:rPr>
              <w:t>...</w:t>
            </w:r>
            <w:r w:rsidR="002D36EA">
              <w:rPr>
                <w:noProof/>
                <w:webHidden/>
              </w:rPr>
              <w:t>...........................................................................................................................</w:t>
            </w:r>
            <w:r w:rsidR="001538EF" w:rsidRPr="005767EF">
              <w:rPr>
                <w:noProof/>
                <w:webHidden/>
              </w:rPr>
              <w:fldChar w:fldCharType="begin"/>
            </w:r>
            <w:r w:rsidR="001538EF" w:rsidRPr="005767EF">
              <w:rPr>
                <w:noProof/>
                <w:webHidden/>
              </w:rPr>
              <w:instrText xml:space="preserve"> PAGEREF _Toc135292173 \h </w:instrText>
            </w:r>
            <w:r w:rsidR="001538EF" w:rsidRPr="005767EF">
              <w:rPr>
                <w:noProof/>
                <w:webHidden/>
              </w:rPr>
            </w:r>
            <w:r w:rsidR="001538EF" w:rsidRPr="005767EF">
              <w:rPr>
                <w:noProof/>
                <w:webHidden/>
              </w:rPr>
              <w:fldChar w:fldCharType="separate"/>
            </w:r>
            <w:r w:rsidR="00DE7069">
              <w:rPr>
                <w:noProof/>
                <w:webHidden/>
              </w:rPr>
              <w:t>19</w:t>
            </w:r>
            <w:r w:rsidR="001538EF" w:rsidRPr="005767EF">
              <w:rPr>
                <w:noProof/>
                <w:webHidden/>
              </w:rPr>
              <w:fldChar w:fldCharType="end"/>
            </w:r>
          </w:hyperlink>
        </w:p>
        <w:p w14:paraId="7D98F570" w14:textId="640FEAF9" w:rsidR="001538EF" w:rsidRPr="005767EF" w:rsidRDefault="00A52A18" w:rsidP="005D0BE8">
          <w:pPr>
            <w:pStyle w:val="TOC1"/>
            <w:tabs>
              <w:tab w:val="left" w:pos="426"/>
              <w:tab w:val="left" w:pos="709"/>
            </w:tabs>
            <w:rPr>
              <w:rFonts w:eastAsiaTheme="minorEastAsia"/>
              <w:noProof/>
              <w:color w:val="auto"/>
              <w:lang w:val="sr-Latn-RS" w:eastAsia="sr-Latn-RS"/>
            </w:rPr>
          </w:pPr>
          <w:hyperlink w:anchor="_Toc135292174" w:history="1">
            <w:r w:rsidR="005D0BE8">
              <w:rPr>
                <w:rStyle w:val="Hyperlink"/>
                <w:noProof/>
                <w:szCs w:val="20"/>
              </w:rPr>
              <w:t>3</w:t>
            </w:r>
            <w:r w:rsidR="001538EF" w:rsidRPr="005767EF">
              <w:rPr>
                <w:rFonts w:eastAsiaTheme="minorEastAsia"/>
                <w:noProof/>
                <w:color w:val="auto"/>
                <w:lang w:eastAsia="sr-Latn-RS"/>
              </w:rPr>
              <w:tab/>
            </w:r>
            <w:r w:rsidR="005D0BE8">
              <w:rPr>
                <w:rFonts w:eastAsiaTheme="minorEastAsia"/>
                <w:noProof/>
                <w:color w:val="auto"/>
                <w:lang w:eastAsia="sr-Latn-RS"/>
              </w:rPr>
              <w:t xml:space="preserve"> </w:t>
            </w:r>
            <w:r w:rsidR="001538EF" w:rsidRPr="005767EF">
              <w:rPr>
                <w:rStyle w:val="Hyperlink"/>
                <w:noProof/>
                <w:szCs w:val="20"/>
              </w:rPr>
              <w:t>ANALIZA FINANSIJSKOG REZULTATA U 2023. GODINI</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_Toc135292174 \h </w:instrText>
            </w:r>
            <w:r w:rsidR="001538EF" w:rsidRPr="005767EF">
              <w:rPr>
                <w:noProof/>
                <w:webHidden/>
              </w:rPr>
            </w:r>
            <w:r w:rsidR="001538EF" w:rsidRPr="005767EF">
              <w:rPr>
                <w:noProof/>
                <w:webHidden/>
              </w:rPr>
              <w:fldChar w:fldCharType="separate"/>
            </w:r>
            <w:r w:rsidR="00DE7069">
              <w:rPr>
                <w:noProof/>
                <w:webHidden/>
              </w:rPr>
              <w:t>22</w:t>
            </w:r>
            <w:r w:rsidR="001538EF" w:rsidRPr="005767EF">
              <w:rPr>
                <w:noProof/>
                <w:webHidden/>
              </w:rPr>
              <w:fldChar w:fldCharType="end"/>
            </w:r>
          </w:hyperlink>
        </w:p>
        <w:p w14:paraId="700CB44F" w14:textId="5646C057" w:rsidR="001538EF" w:rsidRPr="005767EF" w:rsidRDefault="005D0BE8" w:rsidP="00BC5934">
          <w:pPr>
            <w:pStyle w:val="TOC2"/>
            <w:rPr>
              <w:rFonts w:eastAsiaTheme="minorEastAsia"/>
              <w:noProof/>
              <w:color w:val="auto"/>
              <w:lang w:val="sr-Latn-RS" w:eastAsia="sr-Latn-RS"/>
            </w:rPr>
          </w:pPr>
          <w:r>
            <w:t xml:space="preserve">   </w:t>
          </w:r>
          <w:hyperlink w:anchor="_Toc135292175" w:history="1">
            <w:r>
              <w:rPr>
                <w:rStyle w:val="Hyperlink"/>
                <w:noProof/>
                <w:szCs w:val="20"/>
              </w:rPr>
              <w:t>3.1</w:t>
            </w:r>
            <w:r w:rsidR="001538EF" w:rsidRPr="005767EF">
              <w:rPr>
                <w:rFonts w:eastAsiaTheme="minorEastAsia"/>
                <w:noProof/>
                <w:color w:val="auto"/>
                <w:lang w:eastAsia="sr-Latn-RS"/>
              </w:rPr>
              <w:tab/>
            </w:r>
            <w:r>
              <w:rPr>
                <w:rStyle w:val="Hyperlink"/>
                <w:noProof/>
                <w:szCs w:val="20"/>
              </w:rPr>
              <w:t>ANALIZA OSTVARENIH PRIHODA U 2023.GODINI</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_Toc135292175 \h </w:instrText>
            </w:r>
            <w:r w:rsidR="001538EF" w:rsidRPr="005767EF">
              <w:rPr>
                <w:noProof/>
                <w:webHidden/>
              </w:rPr>
            </w:r>
            <w:r w:rsidR="001538EF" w:rsidRPr="005767EF">
              <w:rPr>
                <w:noProof/>
                <w:webHidden/>
              </w:rPr>
              <w:fldChar w:fldCharType="separate"/>
            </w:r>
            <w:r w:rsidR="00DE7069">
              <w:rPr>
                <w:noProof/>
                <w:webHidden/>
              </w:rPr>
              <w:t>22</w:t>
            </w:r>
            <w:r w:rsidR="001538EF" w:rsidRPr="005767EF">
              <w:rPr>
                <w:noProof/>
                <w:webHidden/>
              </w:rPr>
              <w:fldChar w:fldCharType="end"/>
            </w:r>
          </w:hyperlink>
        </w:p>
        <w:p w14:paraId="326E26D2" w14:textId="040883A7" w:rsidR="001538EF" w:rsidRPr="005767EF" w:rsidRDefault="005D0BE8" w:rsidP="00BC5934">
          <w:pPr>
            <w:pStyle w:val="TOC2"/>
            <w:rPr>
              <w:rFonts w:eastAsiaTheme="minorEastAsia"/>
              <w:noProof/>
              <w:color w:val="auto"/>
              <w:lang w:val="sr-Latn-RS" w:eastAsia="sr-Latn-RS"/>
            </w:rPr>
          </w:pPr>
          <w:r>
            <w:t xml:space="preserve">   </w:t>
          </w:r>
          <w:hyperlink w:anchor="_Toc135292176" w:history="1">
            <w:r>
              <w:rPr>
                <w:rStyle w:val="Hyperlink"/>
                <w:noProof/>
                <w:szCs w:val="20"/>
              </w:rPr>
              <w:t>3.2</w:t>
            </w:r>
            <w:r w:rsidR="001538EF" w:rsidRPr="005767EF">
              <w:rPr>
                <w:rFonts w:eastAsiaTheme="minorEastAsia"/>
                <w:noProof/>
                <w:color w:val="auto"/>
                <w:lang w:eastAsia="sr-Latn-RS"/>
              </w:rPr>
              <w:tab/>
            </w:r>
            <w:r w:rsidR="001538EF" w:rsidRPr="005767EF">
              <w:rPr>
                <w:rStyle w:val="Hyperlink"/>
                <w:noProof/>
                <w:szCs w:val="20"/>
              </w:rPr>
              <w:t>ANALIZA OSTVARENIH RASHODA U 2023. GODINI</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_Toc135292176 \h </w:instrText>
            </w:r>
            <w:r w:rsidR="001538EF" w:rsidRPr="005767EF">
              <w:rPr>
                <w:noProof/>
                <w:webHidden/>
              </w:rPr>
            </w:r>
            <w:r w:rsidR="001538EF" w:rsidRPr="005767EF">
              <w:rPr>
                <w:noProof/>
                <w:webHidden/>
              </w:rPr>
              <w:fldChar w:fldCharType="separate"/>
            </w:r>
            <w:r w:rsidR="00DE7069">
              <w:rPr>
                <w:noProof/>
                <w:webHidden/>
              </w:rPr>
              <w:t>23</w:t>
            </w:r>
            <w:r w:rsidR="001538EF" w:rsidRPr="005767EF">
              <w:rPr>
                <w:noProof/>
                <w:webHidden/>
              </w:rPr>
              <w:fldChar w:fldCharType="end"/>
            </w:r>
          </w:hyperlink>
        </w:p>
        <w:p w14:paraId="46D42453" w14:textId="3F89E3FB" w:rsidR="001538EF" w:rsidRPr="005767EF" w:rsidRDefault="005D0BE8" w:rsidP="00BC5934">
          <w:pPr>
            <w:pStyle w:val="TOC2"/>
            <w:rPr>
              <w:rFonts w:eastAsiaTheme="minorEastAsia"/>
              <w:noProof/>
              <w:color w:val="auto"/>
              <w:lang w:val="sr-Latn-RS" w:eastAsia="sr-Latn-RS"/>
            </w:rPr>
          </w:pPr>
          <w:r>
            <w:t xml:space="preserve">   </w:t>
          </w:r>
          <w:hyperlink w:anchor="_Toc135292177" w:history="1">
            <w:r>
              <w:rPr>
                <w:rStyle w:val="Hyperlink"/>
                <w:noProof/>
                <w:szCs w:val="20"/>
              </w:rPr>
              <w:t>3.3</w:t>
            </w:r>
            <w:r w:rsidR="001538EF" w:rsidRPr="005767EF">
              <w:rPr>
                <w:rFonts w:eastAsiaTheme="minorEastAsia"/>
                <w:noProof/>
                <w:color w:val="auto"/>
                <w:lang w:eastAsia="sr-Latn-RS"/>
              </w:rPr>
              <w:tab/>
            </w:r>
            <w:r w:rsidR="002E7B50">
              <w:rPr>
                <w:rStyle w:val="Hyperlink"/>
                <w:noProof/>
                <w:szCs w:val="20"/>
              </w:rPr>
              <w:t>OSTVARENI FINANSIJSKI REZULTAT U 2023. GODINI</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_Toc135292177 \h </w:instrText>
            </w:r>
            <w:r w:rsidR="001538EF" w:rsidRPr="005767EF">
              <w:rPr>
                <w:noProof/>
                <w:webHidden/>
              </w:rPr>
            </w:r>
            <w:r w:rsidR="001538EF" w:rsidRPr="005767EF">
              <w:rPr>
                <w:noProof/>
                <w:webHidden/>
              </w:rPr>
              <w:fldChar w:fldCharType="separate"/>
            </w:r>
            <w:r w:rsidR="00DE7069">
              <w:rPr>
                <w:noProof/>
                <w:webHidden/>
              </w:rPr>
              <w:t>28</w:t>
            </w:r>
            <w:r w:rsidR="001538EF" w:rsidRPr="005767EF">
              <w:rPr>
                <w:noProof/>
                <w:webHidden/>
              </w:rPr>
              <w:fldChar w:fldCharType="end"/>
            </w:r>
          </w:hyperlink>
        </w:p>
        <w:p w14:paraId="53825C6B" w14:textId="20CF9FAA" w:rsidR="001538EF" w:rsidRPr="00C66305" w:rsidRDefault="005D0BE8" w:rsidP="00BC5934">
          <w:pPr>
            <w:pStyle w:val="TOC2"/>
            <w:rPr>
              <w:rFonts w:eastAsiaTheme="minorEastAsia"/>
              <w:noProof/>
              <w:color w:val="auto"/>
              <w:lang w:val="sr-Cyrl-RS" w:eastAsia="sr-Latn-RS"/>
            </w:rPr>
          </w:pPr>
          <w:r>
            <w:t xml:space="preserve">   </w:t>
          </w:r>
          <w:hyperlink w:anchor="_Toc135292178" w:history="1">
            <w:r>
              <w:rPr>
                <w:rStyle w:val="Hyperlink"/>
                <w:noProof/>
                <w:szCs w:val="20"/>
              </w:rPr>
              <w:t>3.4</w:t>
            </w:r>
            <w:r w:rsidR="001538EF" w:rsidRPr="005767EF">
              <w:rPr>
                <w:rFonts w:eastAsiaTheme="minorEastAsia"/>
                <w:noProof/>
                <w:color w:val="auto"/>
                <w:lang w:eastAsia="sr-Latn-RS"/>
              </w:rPr>
              <w:tab/>
            </w:r>
            <w:r w:rsidR="001538EF" w:rsidRPr="005767EF">
              <w:rPr>
                <w:rStyle w:val="Hyperlink"/>
                <w:noProof/>
                <w:szCs w:val="20"/>
              </w:rPr>
              <w:t>ANALIZA BILANSA STANJA NA DAN 31.12.2023. GODINE</w:t>
            </w:r>
            <w:r w:rsidR="001538EF" w:rsidRPr="005767EF">
              <w:rPr>
                <w:noProof/>
                <w:webHidden/>
              </w:rPr>
              <w:tab/>
            </w:r>
          </w:hyperlink>
          <w:r w:rsidR="002D36EA">
            <w:rPr>
              <w:noProof/>
            </w:rPr>
            <w:t>29</w:t>
          </w:r>
        </w:p>
        <w:p w14:paraId="4B204DA9" w14:textId="03DF10C6" w:rsidR="001538EF" w:rsidRPr="00424A91" w:rsidRDefault="005D0BE8" w:rsidP="00BC5934">
          <w:pPr>
            <w:pStyle w:val="TOC2"/>
            <w:rPr>
              <w:rFonts w:eastAsiaTheme="minorEastAsia"/>
              <w:noProof/>
              <w:color w:val="auto"/>
              <w:lang w:val="sr-Cyrl-RS" w:eastAsia="sr-Latn-RS"/>
            </w:rPr>
          </w:pPr>
          <w:r>
            <w:t xml:space="preserve">   </w:t>
          </w:r>
          <w:hyperlink w:anchor="_Toc135292179" w:history="1">
            <w:r>
              <w:rPr>
                <w:rStyle w:val="Hyperlink"/>
                <w:noProof/>
                <w:szCs w:val="20"/>
              </w:rPr>
              <w:t>3.5</w:t>
            </w:r>
            <w:r w:rsidR="001538EF" w:rsidRPr="005767EF">
              <w:rPr>
                <w:rFonts w:eastAsiaTheme="minorEastAsia"/>
                <w:noProof/>
                <w:color w:val="auto"/>
                <w:lang w:eastAsia="sr-Latn-RS"/>
              </w:rPr>
              <w:tab/>
            </w:r>
            <w:r w:rsidR="001538EF" w:rsidRPr="005767EF">
              <w:rPr>
                <w:rStyle w:val="Hyperlink"/>
                <w:noProof/>
                <w:szCs w:val="20"/>
              </w:rPr>
              <w:t>ANALIZA SLOBODNIH NOVČANIH SREDSTAVA FONDA NA DAN 31.12.2023. GODINE</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_Toc135292179 \h </w:instrText>
            </w:r>
            <w:r w:rsidR="001538EF" w:rsidRPr="005767EF">
              <w:rPr>
                <w:noProof/>
                <w:webHidden/>
              </w:rPr>
            </w:r>
            <w:r w:rsidR="001538EF" w:rsidRPr="005767EF">
              <w:rPr>
                <w:noProof/>
                <w:webHidden/>
              </w:rPr>
              <w:fldChar w:fldCharType="separate"/>
            </w:r>
            <w:r w:rsidR="00DE7069">
              <w:rPr>
                <w:noProof/>
                <w:webHidden/>
              </w:rPr>
              <w:t>31</w:t>
            </w:r>
            <w:r w:rsidR="001538EF" w:rsidRPr="005767EF">
              <w:rPr>
                <w:noProof/>
                <w:webHidden/>
              </w:rPr>
              <w:fldChar w:fldCharType="end"/>
            </w:r>
          </w:hyperlink>
        </w:p>
        <w:p w14:paraId="31502F9A" w14:textId="6C82FAF8" w:rsidR="001538EF" w:rsidRPr="00170349" w:rsidRDefault="00A52A18" w:rsidP="005D0BE8">
          <w:pPr>
            <w:pStyle w:val="TOC1"/>
            <w:tabs>
              <w:tab w:val="left" w:pos="426"/>
              <w:tab w:val="left" w:pos="709"/>
            </w:tabs>
            <w:rPr>
              <w:rFonts w:eastAsiaTheme="minorEastAsia"/>
              <w:noProof/>
              <w:color w:val="auto"/>
              <w:lang w:val="sr-Cyrl-RS" w:eastAsia="sr-Latn-RS"/>
            </w:rPr>
          </w:pPr>
          <w:hyperlink w:anchor="_Toc135292180" w:history="1">
            <w:r w:rsidR="005D0BE8">
              <w:rPr>
                <w:rStyle w:val="Hyperlink"/>
                <w:noProof/>
                <w:szCs w:val="20"/>
              </w:rPr>
              <w:t>4</w:t>
            </w:r>
            <w:r w:rsidR="001538EF" w:rsidRPr="005767EF">
              <w:rPr>
                <w:rFonts w:eastAsiaTheme="minorEastAsia"/>
                <w:noProof/>
                <w:color w:val="auto"/>
                <w:lang w:eastAsia="sr-Latn-RS"/>
              </w:rPr>
              <w:tab/>
            </w:r>
            <w:r w:rsidR="001538EF" w:rsidRPr="005767EF">
              <w:rPr>
                <w:rStyle w:val="Hyperlink"/>
                <w:noProof/>
                <w:szCs w:val="20"/>
              </w:rPr>
              <w:t>ANALIZA OSTVARENJA PLANA INVESTICIJA U 2023. GODINI</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_Toc135292180 \h </w:instrText>
            </w:r>
            <w:r w:rsidR="001538EF" w:rsidRPr="005767EF">
              <w:rPr>
                <w:noProof/>
                <w:webHidden/>
              </w:rPr>
            </w:r>
            <w:r w:rsidR="001538EF" w:rsidRPr="005767EF">
              <w:rPr>
                <w:noProof/>
                <w:webHidden/>
              </w:rPr>
              <w:fldChar w:fldCharType="separate"/>
            </w:r>
            <w:r w:rsidR="00DE7069">
              <w:rPr>
                <w:noProof/>
                <w:webHidden/>
              </w:rPr>
              <w:t>35</w:t>
            </w:r>
            <w:r w:rsidR="001538EF" w:rsidRPr="005767EF">
              <w:rPr>
                <w:noProof/>
                <w:webHidden/>
              </w:rPr>
              <w:fldChar w:fldCharType="end"/>
            </w:r>
          </w:hyperlink>
        </w:p>
        <w:p w14:paraId="4E5CBE5E" w14:textId="0D397FAF" w:rsidR="00DE7069" w:rsidRDefault="005D0BE8" w:rsidP="00DE7069">
          <w:pPr>
            <w:pStyle w:val="TOC1"/>
            <w:tabs>
              <w:tab w:val="left" w:pos="426"/>
              <w:tab w:val="left" w:pos="709"/>
            </w:tabs>
            <w:rPr>
              <w:b w:val="0"/>
              <w:szCs w:val="20"/>
            </w:rPr>
          </w:pPr>
          <w:r>
            <w:t xml:space="preserve">      </w:t>
          </w:r>
          <w:hyperlink w:anchor="_Toc135292181" w:history="1">
            <w:r w:rsidR="00FF6494">
              <w:rPr>
                <w:rStyle w:val="Hyperlink"/>
                <w:noProof/>
                <w:szCs w:val="20"/>
              </w:rPr>
              <w:t>ZAKLJUČAK</w:t>
            </w:r>
            <w:r w:rsidR="001538EF" w:rsidRPr="005767EF">
              <w:rPr>
                <w:noProof/>
                <w:webHidden/>
              </w:rPr>
              <w:tab/>
            </w:r>
          </w:hyperlink>
          <w:r w:rsidR="001538EF" w:rsidRPr="005767EF">
            <w:rPr>
              <w:b w:val="0"/>
              <w:szCs w:val="20"/>
            </w:rPr>
            <w:fldChar w:fldCharType="end"/>
          </w:r>
          <w:r w:rsidR="002D36EA">
            <w:rPr>
              <w:szCs w:val="20"/>
            </w:rPr>
            <w:t>36</w:t>
          </w:r>
        </w:p>
        <w:p w14:paraId="45229251" w14:textId="18BAB920" w:rsidR="001538EF" w:rsidRPr="00DE7069" w:rsidRDefault="00A52A18" w:rsidP="00DE7069"/>
      </w:sdtContent>
    </w:sdt>
    <w:p w14:paraId="5A540444" w14:textId="77777777" w:rsidR="001538EF" w:rsidRPr="005767EF" w:rsidRDefault="001538EF" w:rsidP="001538EF">
      <w:pPr>
        <w:spacing w:after="200" w:line="276" w:lineRule="auto"/>
        <w:jc w:val="left"/>
        <w:rPr>
          <w:rFonts w:asciiTheme="minorHAnsi" w:hAnsiTheme="minorHAnsi"/>
          <w:sz w:val="20"/>
          <w:szCs w:val="20"/>
        </w:rPr>
      </w:pPr>
      <w:r w:rsidRPr="005767EF">
        <w:rPr>
          <w:rFonts w:asciiTheme="minorHAnsi" w:hAnsiTheme="minorHAnsi"/>
          <w:sz w:val="20"/>
          <w:szCs w:val="20"/>
        </w:rPr>
        <w:br w:type="page"/>
      </w:r>
    </w:p>
    <w:p w14:paraId="6434928C" w14:textId="77777777" w:rsidR="001538EF" w:rsidRPr="005767EF" w:rsidRDefault="001538EF" w:rsidP="001538EF">
      <w:pPr>
        <w:rPr>
          <w:rFonts w:asciiTheme="minorHAnsi" w:hAnsiTheme="minorHAnsi"/>
          <w:sz w:val="20"/>
          <w:szCs w:val="20"/>
        </w:rPr>
      </w:pPr>
    </w:p>
    <w:p w14:paraId="18FDC404" w14:textId="77777777" w:rsidR="00A0401A" w:rsidRPr="005767EF" w:rsidRDefault="00A0401A" w:rsidP="00E41B44">
      <w:pPr>
        <w:pStyle w:val="Heading1"/>
        <w:numPr>
          <w:ilvl w:val="0"/>
          <w:numId w:val="0"/>
        </w:numPr>
        <w:ind w:left="431"/>
        <w:jc w:val="center"/>
        <w:rPr>
          <w:rFonts w:asciiTheme="minorHAnsi" w:hAnsiTheme="minorHAnsi"/>
          <w:noProof/>
        </w:rPr>
      </w:pPr>
      <w:bookmarkStart w:id="0" w:name="_Toc514323445"/>
      <w:bookmarkStart w:id="1" w:name="_Toc135292166"/>
      <w:r w:rsidRPr="005767EF">
        <w:rPr>
          <w:rFonts w:asciiTheme="minorHAnsi" w:hAnsiTheme="minorHAnsi"/>
          <w:noProof/>
        </w:rPr>
        <w:t>UVOD</w:t>
      </w:r>
      <w:bookmarkEnd w:id="0"/>
      <w:bookmarkEnd w:id="1"/>
    </w:p>
    <w:p w14:paraId="5A558C8B" w14:textId="341EE5A5" w:rsidR="00A0401A" w:rsidRPr="005767EF" w:rsidRDefault="00A0401A" w:rsidP="00E41B44">
      <w:pPr>
        <w:rPr>
          <w:rStyle w:val="tekst1"/>
          <w:rFonts w:asciiTheme="minorHAnsi" w:hAnsiTheme="minorHAnsi" w:cs="Times New Roman"/>
          <w:noProof/>
          <w:sz w:val="20"/>
          <w:szCs w:val="20"/>
          <w:lang w:val="sr-Cyrl-RS"/>
        </w:rPr>
      </w:pPr>
      <w:r w:rsidRPr="005767EF">
        <w:rPr>
          <w:rFonts w:asciiTheme="minorHAnsi" w:hAnsiTheme="minorHAnsi"/>
          <w:noProof/>
          <w:sz w:val="20"/>
          <w:szCs w:val="20"/>
        </w:rPr>
        <w:t xml:space="preserve">Garantni fond Republike Srpske a.d. Banja Luka (u daljem tekstu: Fond) je  </w:t>
      </w:r>
      <w:r w:rsidRPr="005767EF">
        <w:rPr>
          <w:rStyle w:val="tekst1"/>
          <w:rFonts w:asciiTheme="minorHAnsi" w:hAnsiTheme="minorHAnsi" w:cs="Times New Roman"/>
          <w:noProof/>
          <w:sz w:val="20"/>
          <w:szCs w:val="20"/>
        </w:rPr>
        <w:t xml:space="preserve">osnovan radi ostvarivanja opšteg interesa koji je izražen u pružanju podrške razvoju preduzetništva kroz olakšavanje pristupa finansijskim sredstvima potrebnim za obavljanje poslovnih djelatnosti preduzetnika (pravnih i fizičkih lica) sa sjedištem, odnosno prebivalištem u Republici Srpskoj. </w:t>
      </w:r>
    </w:p>
    <w:p w14:paraId="1EFD8817" w14:textId="77777777" w:rsidR="00A0401A" w:rsidRDefault="00A0401A" w:rsidP="00E41B44">
      <w:pPr>
        <w:rPr>
          <w:rFonts w:asciiTheme="minorHAnsi" w:hAnsiTheme="minorHAnsi"/>
          <w:noProof/>
          <w:sz w:val="20"/>
          <w:szCs w:val="20"/>
          <w:lang w:val="sr-Cyrl-RS"/>
        </w:rPr>
      </w:pPr>
    </w:p>
    <w:p w14:paraId="7F5A9ACA" w14:textId="1E4DC6AD" w:rsidR="00A0401A" w:rsidRPr="005767EF" w:rsidRDefault="00A0401A" w:rsidP="00E41B44">
      <w:pPr>
        <w:rPr>
          <w:rFonts w:asciiTheme="minorHAnsi" w:hAnsiTheme="minorHAnsi"/>
          <w:noProof/>
          <w:color w:val="FF0000"/>
          <w:sz w:val="20"/>
          <w:szCs w:val="20"/>
          <w:lang w:val="sr-Cyrl-RS"/>
        </w:rPr>
      </w:pPr>
      <w:r w:rsidRPr="005767EF">
        <w:rPr>
          <w:rFonts w:asciiTheme="minorHAnsi" w:hAnsiTheme="minorHAnsi"/>
          <w:noProof/>
          <w:sz w:val="20"/>
          <w:szCs w:val="20"/>
        </w:rPr>
        <w:t xml:space="preserve">Fond je osnovan Odlukom Vlade Republike Srpske u julu 2010. godine.  Pravni status Fonda, njegova djelatnost, način korišćenja sredstava i način upravljanja Fondom, regulisan je Zakonom o Garantnom fondu Republike Srpske („Službeni glasnik Republike Srpske“, broj 50/10) i </w:t>
      </w:r>
      <w:r w:rsidRPr="005767EF">
        <w:rPr>
          <w:rFonts w:asciiTheme="minorHAnsi" w:eastAsiaTheme="minorHAnsi" w:hAnsiTheme="minorHAnsi"/>
          <w:color w:val="auto"/>
          <w:sz w:val="20"/>
          <w:szCs w:val="20"/>
          <w:lang w:eastAsia="en-US"/>
        </w:rPr>
        <w:t xml:space="preserve">Zakonom o izmjenama i dopunama Zakona o Garantnom fondu Republike Srpske („Službeni glasnik RS“ broj 107/2019) </w:t>
      </w:r>
      <w:r w:rsidRPr="005767EF">
        <w:rPr>
          <w:rFonts w:asciiTheme="minorHAnsi" w:hAnsiTheme="minorHAnsi"/>
          <w:noProof/>
          <w:sz w:val="20"/>
          <w:szCs w:val="20"/>
        </w:rPr>
        <w:t xml:space="preserve">. </w:t>
      </w:r>
      <w:r w:rsidRPr="005767EF">
        <w:rPr>
          <w:rFonts w:asciiTheme="minorHAnsi" w:hAnsiTheme="minorHAnsi"/>
          <w:noProof/>
          <w:color w:val="000000" w:themeColor="text1"/>
          <w:sz w:val="20"/>
          <w:szCs w:val="20"/>
        </w:rPr>
        <w:t xml:space="preserve">Obzirom da je osnivač Fonda Republika Srpska i da je osnivač 100% vlasnik akcija Fonda (Fond je zatvoreno akcionarsko društvo), na rad i poslovanje Fonda primjenjuju se i odredbe Zakona o javnim preduzećima („Službeni glasnik Republike Srpske“, broj 75/04 i 78/11). </w:t>
      </w:r>
    </w:p>
    <w:p w14:paraId="51F13FAD" w14:textId="77777777" w:rsidR="00A0401A" w:rsidRDefault="00A0401A" w:rsidP="00E41B44">
      <w:pPr>
        <w:rPr>
          <w:rFonts w:asciiTheme="minorHAnsi" w:hAnsiTheme="minorHAnsi"/>
          <w:noProof/>
          <w:sz w:val="20"/>
          <w:szCs w:val="20"/>
          <w:lang w:val="sr-Cyrl-RS"/>
        </w:rPr>
      </w:pPr>
    </w:p>
    <w:p w14:paraId="2F24B946" w14:textId="77777777" w:rsidR="00A0401A" w:rsidRPr="005767EF" w:rsidRDefault="00A0401A" w:rsidP="00E41B44">
      <w:pPr>
        <w:rPr>
          <w:rFonts w:asciiTheme="minorHAnsi" w:hAnsiTheme="minorHAnsi"/>
          <w:noProof/>
          <w:sz w:val="20"/>
          <w:szCs w:val="20"/>
          <w:lang w:val="sr-Cyrl-RS"/>
        </w:rPr>
      </w:pPr>
      <w:r w:rsidRPr="005767EF">
        <w:rPr>
          <w:rFonts w:asciiTheme="minorHAnsi" w:hAnsiTheme="minorHAnsi"/>
          <w:noProof/>
          <w:sz w:val="20"/>
          <w:szCs w:val="20"/>
        </w:rPr>
        <w:t xml:space="preserve">Osnovna djelatnost Fonda je izdavanje svih vrsta garancija, supergarancija i kontragarancija za obezbjeđenje dijela obaveza po kreditu ili drugoj finansijskoj obavezi, ugovorenim između preduzetnika sa sjedištem, odnosno prebivalištem u Republici Srpskoj, kao nalogodavca garancije i dužnika po obezbjeđenoj obavezi, i banke ili druge finansijske organizacije, kao korisnika garancije i povjerioca po obezbjeđenoj obavezi. </w:t>
      </w:r>
    </w:p>
    <w:p w14:paraId="2EE47BB6" w14:textId="77777777" w:rsidR="00A0401A" w:rsidRDefault="00A0401A" w:rsidP="00E41B44">
      <w:pPr>
        <w:rPr>
          <w:rFonts w:asciiTheme="minorHAnsi" w:hAnsiTheme="minorHAnsi"/>
          <w:noProof/>
          <w:sz w:val="20"/>
          <w:szCs w:val="20"/>
          <w:lang w:val="sr-Cyrl-RS"/>
        </w:rPr>
      </w:pPr>
    </w:p>
    <w:p w14:paraId="0E6AC153" w14:textId="77777777" w:rsidR="00A0401A" w:rsidRPr="005767EF" w:rsidRDefault="00A0401A" w:rsidP="00E41B44">
      <w:pPr>
        <w:rPr>
          <w:rFonts w:asciiTheme="minorHAnsi" w:hAnsiTheme="minorHAnsi"/>
          <w:noProof/>
          <w:sz w:val="20"/>
          <w:szCs w:val="20"/>
          <w:lang w:val="sr-Cyrl-RS"/>
        </w:rPr>
      </w:pPr>
      <w:r w:rsidRPr="005767EF">
        <w:rPr>
          <w:rFonts w:asciiTheme="minorHAnsi" w:hAnsiTheme="minorHAnsi"/>
          <w:noProof/>
          <w:sz w:val="20"/>
          <w:szCs w:val="20"/>
        </w:rPr>
        <w:t>Fond može izdati garancije do 50% (u izuzetnim slučajevima do 70%) iznosa odobrenog kredita ili druge finansijske obaveze koje je preduzetniku odobrila banka ili druga finansijska organizacija ili maksimalno do 1.500.000,00 KM. Garantni potencijal Fonda čini trostruki iznos osnivačkog kapitala Fonda, odnosno 90.000.000,00 KM.</w:t>
      </w:r>
    </w:p>
    <w:p w14:paraId="30873637" w14:textId="77777777" w:rsidR="00A0401A" w:rsidRPr="005767EF" w:rsidRDefault="00A0401A" w:rsidP="00E41B44">
      <w:pPr>
        <w:pStyle w:val="ListParagraph"/>
        <w:rPr>
          <w:rFonts w:asciiTheme="minorHAnsi" w:eastAsiaTheme="minorHAnsi" w:hAnsiTheme="minorHAnsi"/>
          <w:color w:val="auto"/>
          <w:sz w:val="20"/>
          <w:szCs w:val="20"/>
          <w:lang w:val="sr-Cyrl-RS" w:eastAsia="en-US"/>
        </w:rPr>
      </w:pPr>
    </w:p>
    <w:p w14:paraId="4E37A423" w14:textId="77777777" w:rsidR="00A0401A" w:rsidRPr="005767EF" w:rsidRDefault="00A0401A" w:rsidP="00A0401A">
      <w:pPr>
        <w:pStyle w:val="Heading1"/>
        <w:tabs>
          <w:tab w:val="num" w:pos="720"/>
        </w:tabs>
        <w:rPr>
          <w:rFonts w:asciiTheme="minorHAnsi" w:eastAsiaTheme="minorHAnsi" w:hAnsiTheme="minorHAnsi"/>
        </w:rPr>
      </w:pPr>
      <w:bookmarkStart w:id="2" w:name="_Toc135292167"/>
      <w:r w:rsidRPr="005767EF">
        <w:rPr>
          <w:rFonts w:asciiTheme="minorHAnsi" w:eastAsiaTheme="minorHAnsi" w:hAnsiTheme="minorHAnsi"/>
        </w:rPr>
        <w:t>ORGANIZACIJA I NAČIN RADA GARANTNOG FONDA REPUBLIKE SRPSKE</w:t>
      </w:r>
      <w:bookmarkEnd w:id="2"/>
    </w:p>
    <w:p w14:paraId="47A0A97B" w14:textId="77777777" w:rsidR="00A0401A" w:rsidRPr="00FE0E1B" w:rsidRDefault="00A0401A" w:rsidP="00E41B44">
      <w:pPr>
        <w:autoSpaceDE w:val="0"/>
        <w:autoSpaceDN w:val="0"/>
        <w:adjustRightInd w:val="0"/>
        <w:ind w:firstLine="431"/>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eastAsia="en-US"/>
        </w:rPr>
        <w:t>U skladu sa Zakonom o Garantnom fondu Republike Srpske i Zakonom o javnim preduzećima, Organe Fonda čine:</w:t>
      </w:r>
    </w:p>
    <w:p w14:paraId="7992BA8F" w14:textId="77777777" w:rsidR="00A0401A" w:rsidRPr="005767EF" w:rsidRDefault="00A0401A" w:rsidP="001E36A9">
      <w:pPr>
        <w:pStyle w:val="ListParagraph"/>
        <w:numPr>
          <w:ilvl w:val="0"/>
          <w:numId w:val="29"/>
        </w:numPr>
        <w:autoSpaceDE w:val="0"/>
        <w:autoSpaceDN w:val="0"/>
        <w:adjustRightInd w:val="0"/>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 xml:space="preserve">Skupština akcionara </w:t>
      </w:r>
    </w:p>
    <w:p w14:paraId="0D0BE8DA" w14:textId="77777777" w:rsidR="00A0401A" w:rsidRPr="005767EF" w:rsidRDefault="00A0401A" w:rsidP="001E36A9">
      <w:pPr>
        <w:pStyle w:val="ListParagraph"/>
        <w:numPr>
          <w:ilvl w:val="0"/>
          <w:numId w:val="29"/>
        </w:num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Nadzorni odbor</w:t>
      </w:r>
    </w:p>
    <w:p w14:paraId="1CF0B210" w14:textId="77777777" w:rsidR="00A0401A" w:rsidRPr="005767EF" w:rsidRDefault="00A0401A" w:rsidP="001E36A9">
      <w:pPr>
        <w:pStyle w:val="ListParagraph"/>
        <w:numPr>
          <w:ilvl w:val="0"/>
          <w:numId w:val="29"/>
        </w:num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Direktor Fondacije</w:t>
      </w:r>
    </w:p>
    <w:p w14:paraId="58EBD27F" w14:textId="77777777" w:rsidR="00A0401A" w:rsidRPr="005767EF" w:rsidRDefault="00A0401A" w:rsidP="001E36A9">
      <w:pPr>
        <w:pStyle w:val="ListParagraph"/>
        <w:numPr>
          <w:ilvl w:val="0"/>
          <w:numId w:val="29"/>
        </w:numPr>
        <w:autoSpaceDE w:val="0"/>
        <w:autoSpaceDN w:val="0"/>
        <w:adjustRightInd w:val="0"/>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Odbor za reviziju</w:t>
      </w:r>
    </w:p>
    <w:p w14:paraId="69F7454D" w14:textId="77777777" w:rsidR="00A0401A" w:rsidRPr="005767EF" w:rsidRDefault="00A0401A" w:rsidP="001E36A9">
      <w:pPr>
        <w:pStyle w:val="ListParagraph"/>
        <w:numPr>
          <w:ilvl w:val="0"/>
          <w:numId w:val="29"/>
        </w:numPr>
        <w:autoSpaceDE w:val="0"/>
        <w:autoSpaceDN w:val="0"/>
        <w:adjustRightInd w:val="0"/>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 xml:space="preserve">Garantni odbor </w:t>
      </w:r>
    </w:p>
    <w:p w14:paraId="4E2A7BC8" w14:textId="77777777" w:rsidR="00A0401A" w:rsidRDefault="00A0401A" w:rsidP="00E41B44">
      <w:pPr>
        <w:autoSpaceDE w:val="0"/>
        <w:autoSpaceDN w:val="0"/>
        <w:adjustRightInd w:val="0"/>
        <w:rPr>
          <w:rFonts w:asciiTheme="minorHAnsi" w:eastAsiaTheme="minorHAnsi" w:hAnsiTheme="minorHAnsi"/>
          <w:color w:val="auto"/>
          <w:sz w:val="20"/>
          <w:szCs w:val="20"/>
          <w:lang w:val="sr-Cyrl-BA" w:eastAsia="en-US"/>
        </w:rPr>
      </w:pPr>
    </w:p>
    <w:p w14:paraId="6F1DD34B" w14:textId="77777777" w:rsidR="001E36A9" w:rsidRPr="00775661" w:rsidRDefault="001E36A9" w:rsidP="00B26F41">
      <w:pPr>
        <w:autoSpaceDE w:val="0"/>
        <w:autoSpaceDN w:val="0"/>
        <w:adjustRightInd w:val="0"/>
        <w:rPr>
          <w:rFonts w:asciiTheme="minorHAnsi" w:eastAsiaTheme="minorHAnsi" w:hAnsiTheme="minorHAnsi"/>
          <w:color w:val="auto"/>
          <w:sz w:val="20"/>
          <w:szCs w:val="20"/>
          <w:lang w:val="sr-Cyrl-BA" w:eastAsia="en-US"/>
        </w:rPr>
      </w:pPr>
      <w:bookmarkStart w:id="3" w:name="_Toc135292168"/>
      <w:r w:rsidRPr="00775661">
        <w:rPr>
          <w:rFonts w:asciiTheme="minorHAnsi" w:eastAsiaTheme="minorHAnsi" w:hAnsiTheme="minorHAnsi"/>
          <w:color w:val="auto"/>
          <w:sz w:val="20"/>
          <w:szCs w:val="20"/>
          <w:lang w:eastAsia="en-US"/>
        </w:rPr>
        <w:t>Prava, obaveze i odgovornost organa Fonda regulisana su zakonskim i podzakonskim aktima, Statutom Fonda i internim pravilnicima i poslovnicima o radu organa Fonda.</w:t>
      </w:r>
    </w:p>
    <w:p w14:paraId="663FCBDF" w14:textId="77777777" w:rsidR="001E36A9" w:rsidRPr="00775661" w:rsidRDefault="001E36A9" w:rsidP="00B26F41">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eastAsia="en-US"/>
        </w:rPr>
        <w:t>Vlada Republike Srpske u funkciji Skupštine akcionara Fonda je tokom 2023. godine održala 12 sjednica, te donijela 19 odluka i 5 rješenja iz svoje nadležnosti. Dana 28.12.2023. godine, Vlada Republike Srpske je usvojila novi Statut Garantnog fonda kojim se uređuju nadležnosti, organizacija i način izbora organa Fonda, pravila poslovanja i druga pitanja od značaja za rad Fonda.</w:t>
      </w:r>
    </w:p>
    <w:p w14:paraId="387D0BF2" w14:textId="77777777" w:rsidR="001E36A9" w:rsidRDefault="001E36A9" w:rsidP="00B26F41">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eastAsia="en-US"/>
        </w:rPr>
        <w:t>Nadzorni odbor je održao 14 sastanaka, od kojih je 6 bilo redovno, a 8 vanredno. Ovo telo Fonda usvojilo je ukupno 49 pravnih akata u okviru svoje nadležnosti, tačnije: 14 odluka, 21 zaključak, 5 odluka, 3 uredbe i nacrt statuta, 3 ugovora, jednu inicijativu i jedan izveštaj. Odbor za reviziju održao je 5 sastanaka i dao 20 preporuka. Odbor za garancije održao je 30 sednica i usvojio 52 odluke i 15 predloga odluka za Skupštinu akcionara.</w:t>
      </w:r>
    </w:p>
    <w:p w14:paraId="304005E7" w14:textId="77777777" w:rsidR="001E36A9" w:rsidRDefault="001E36A9" w:rsidP="00B26F41">
      <w:pPr>
        <w:autoSpaceDE w:val="0"/>
        <w:autoSpaceDN w:val="0"/>
        <w:adjustRightInd w:val="0"/>
        <w:rPr>
          <w:rFonts w:asciiTheme="minorHAnsi" w:eastAsiaTheme="minorHAnsi" w:hAnsiTheme="minorHAnsi"/>
          <w:color w:val="auto"/>
          <w:sz w:val="20"/>
          <w:szCs w:val="20"/>
          <w:lang w:val="sr-Cyrl-BA" w:eastAsia="en-US"/>
        </w:rPr>
      </w:pPr>
    </w:p>
    <w:p w14:paraId="232F313B" w14:textId="77777777" w:rsidR="001E36A9" w:rsidRPr="00EB4CFD" w:rsidRDefault="001E36A9" w:rsidP="00B26F41">
      <w:pPr>
        <w:autoSpaceDE w:val="0"/>
        <w:autoSpaceDN w:val="0"/>
        <w:adjustRightInd w:val="0"/>
        <w:rPr>
          <w:rFonts w:asciiTheme="minorHAnsi" w:eastAsiaTheme="minorHAnsi" w:hAnsiTheme="minorHAnsi"/>
          <w:color w:val="auto"/>
          <w:sz w:val="20"/>
          <w:szCs w:val="20"/>
          <w:lang w:val="sr-Cyrl-BA" w:eastAsia="en-US"/>
        </w:rPr>
      </w:pPr>
      <w:r w:rsidRPr="00EB4CFD">
        <w:rPr>
          <w:rFonts w:asciiTheme="minorHAnsi" w:eastAsiaTheme="minorHAnsi" w:hAnsiTheme="minorHAnsi"/>
          <w:color w:val="auto"/>
          <w:sz w:val="20"/>
          <w:szCs w:val="20"/>
          <w:lang w:eastAsia="en-US"/>
        </w:rPr>
        <w:t xml:space="preserve">Pravilnikom o unutrašnjoj organizaciji i sistematizaciji radnih mjesta, u Fondu su sistematizovana 23 radna mjesta. Na dan 31.12.2023. godine, popunjena su sva radna mjesta predviđena sistematizacijom. Kvalifikacionu strukturu zaposlenih čini 20 radnika sa visokom stručnom spremom i 3 radnika sa srednjom stručnom spremom. </w:t>
      </w:r>
    </w:p>
    <w:p w14:paraId="648074C1" w14:textId="77777777" w:rsidR="001E36A9" w:rsidRPr="00775661" w:rsidRDefault="001E36A9" w:rsidP="00B26F41">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eastAsia="en-US"/>
        </w:rPr>
        <w:t>Izveštavanje o radu Garantnog fonda RS regulisano je odredbama Zakona, a svi organi direktno ili indirektno dostavljaju skupštini akcionara svoje izveštaje o radu i aktivnostima.</w:t>
      </w:r>
    </w:p>
    <w:p w14:paraId="2F0C0587" w14:textId="77777777" w:rsidR="001E36A9" w:rsidRDefault="001E36A9" w:rsidP="00B26F41">
      <w:pPr>
        <w:autoSpaceDE w:val="0"/>
        <w:autoSpaceDN w:val="0"/>
        <w:adjustRightInd w:val="0"/>
        <w:rPr>
          <w:rFonts w:asciiTheme="minorHAnsi" w:eastAsiaTheme="minorHAnsi" w:hAnsiTheme="minorHAnsi"/>
          <w:color w:val="FF0000"/>
          <w:sz w:val="20"/>
          <w:szCs w:val="20"/>
          <w:lang w:val="sr-Latn-BA" w:eastAsia="en-US"/>
        </w:rPr>
      </w:pPr>
    </w:p>
    <w:p w14:paraId="682C9937" w14:textId="77777777" w:rsidR="001E36A9" w:rsidRDefault="001E36A9" w:rsidP="00B26F41">
      <w:pPr>
        <w:autoSpaceDE w:val="0"/>
        <w:autoSpaceDN w:val="0"/>
        <w:adjustRightInd w:val="0"/>
        <w:rPr>
          <w:rFonts w:asciiTheme="minorHAnsi" w:eastAsiaTheme="minorHAnsi" w:hAnsiTheme="minorHAnsi"/>
          <w:color w:val="FF0000"/>
          <w:sz w:val="20"/>
          <w:szCs w:val="20"/>
          <w:lang w:val="sr-Latn-BA" w:eastAsia="en-US"/>
        </w:rPr>
      </w:pPr>
    </w:p>
    <w:p w14:paraId="5E48F55D" w14:textId="77777777" w:rsidR="001E36A9" w:rsidRDefault="001E36A9" w:rsidP="00B26F41">
      <w:pPr>
        <w:autoSpaceDE w:val="0"/>
        <w:autoSpaceDN w:val="0"/>
        <w:adjustRightInd w:val="0"/>
        <w:rPr>
          <w:rFonts w:asciiTheme="minorHAnsi" w:eastAsiaTheme="minorHAnsi" w:hAnsiTheme="minorHAnsi"/>
          <w:color w:val="FF0000"/>
          <w:sz w:val="20"/>
          <w:szCs w:val="20"/>
          <w:lang w:val="sr-Latn-BA" w:eastAsia="en-US"/>
        </w:rPr>
      </w:pPr>
    </w:p>
    <w:p w14:paraId="1CAB7021" w14:textId="77777777" w:rsidR="001E36A9" w:rsidRDefault="001E36A9" w:rsidP="00B26F41">
      <w:pPr>
        <w:autoSpaceDE w:val="0"/>
        <w:autoSpaceDN w:val="0"/>
        <w:adjustRightInd w:val="0"/>
        <w:rPr>
          <w:rFonts w:asciiTheme="minorHAnsi" w:eastAsiaTheme="minorHAnsi" w:hAnsiTheme="minorHAnsi"/>
          <w:color w:val="FF0000"/>
          <w:sz w:val="20"/>
          <w:szCs w:val="20"/>
          <w:lang w:val="sr-Latn-BA" w:eastAsia="en-US"/>
        </w:rPr>
      </w:pPr>
    </w:p>
    <w:p w14:paraId="32DD8D14" w14:textId="77777777" w:rsidR="001E36A9" w:rsidRPr="001E36A9" w:rsidRDefault="001E36A9" w:rsidP="00B26F41">
      <w:pPr>
        <w:autoSpaceDE w:val="0"/>
        <w:autoSpaceDN w:val="0"/>
        <w:adjustRightInd w:val="0"/>
        <w:rPr>
          <w:rFonts w:asciiTheme="minorHAnsi" w:eastAsiaTheme="minorHAnsi" w:hAnsiTheme="minorHAnsi"/>
          <w:color w:val="FF0000"/>
          <w:sz w:val="20"/>
          <w:szCs w:val="20"/>
          <w:lang w:val="sr-Latn-BA" w:eastAsia="en-US"/>
        </w:rPr>
      </w:pPr>
    </w:p>
    <w:bookmarkEnd w:id="3"/>
    <w:p w14:paraId="550698DF" w14:textId="77777777" w:rsidR="001E36A9" w:rsidRPr="005767EF" w:rsidRDefault="001E36A9" w:rsidP="00F23A36">
      <w:pPr>
        <w:pStyle w:val="Heading1"/>
        <w:numPr>
          <w:ilvl w:val="0"/>
          <w:numId w:val="0"/>
        </w:numPr>
        <w:rPr>
          <w:rFonts w:asciiTheme="minorHAnsi" w:eastAsiaTheme="minorHAnsi" w:hAnsiTheme="minorHAnsi"/>
        </w:rPr>
      </w:pPr>
      <w:r>
        <w:rPr>
          <w:rFonts w:asciiTheme="minorHAnsi" w:eastAsiaTheme="minorHAnsi" w:hAnsiTheme="minorHAnsi"/>
        </w:rPr>
        <w:t>2 . ANALIZA IZDANIH GARANCIJA U 2023. GODINI</w:t>
      </w:r>
    </w:p>
    <w:p w14:paraId="792397AC" w14:textId="77777777" w:rsidR="001E36A9" w:rsidRPr="005D0BE8" w:rsidRDefault="001E36A9" w:rsidP="00F23A36">
      <w:pPr>
        <w:pStyle w:val="Heading2"/>
        <w:numPr>
          <w:ilvl w:val="0"/>
          <w:numId w:val="0"/>
        </w:numPr>
        <w:rPr>
          <w:rFonts w:asciiTheme="minorHAnsi" w:hAnsiTheme="minorHAnsi"/>
          <w:szCs w:val="20"/>
        </w:rPr>
      </w:pPr>
      <w:bookmarkStart w:id="4" w:name="_Toc514323447"/>
      <w:bookmarkStart w:id="5" w:name="_Toc135292169"/>
      <w:r w:rsidRPr="005D0BE8">
        <w:rPr>
          <w:rFonts w:asciiTheme="minorHAnsi" w:hAnsiTheme="minorHAnsi"/>
          <w:szCs w:val="20"/>
        </w:rPr>
        <w:t>2.1. ANALIZA IZDANIH GARANCIJA U OKVIRU GARANTNIH LINIJA U PERIODU 01.01.2023. - 31.12.2023. GODINE</w:t>
      </w:r>
      <w:bookmarkEnd w:id="4"/>
      <w:bookmarkEnd w:id="5"/>
    </w:p>
    <w:p w14:paraId="657E9A91" w14:textId="77777777" w:rsidR="001E36A9" w:rsidRPr="005767EF" w:rsidRDefault="001E36A9" w:rsidP="00F23A36">
      <w:pPr>
        <w:ind w:firstLine="567"/>
        <w:rPr>
          <w:rFonts w:asciiTheme="minorHAnsi" w:hAnsiTheme="minorHAnsi"/>
          <w:noProof/>
          <w:sz w:val="20"/>
          <w:szCs w:val="20"/>
          <w:lang w:val="sr-Cyrl-RS"/>
        </w:rPr>
      </w:pPr>
    </w:p>
    <w:p w14:paraId="44FC9AE5" w14:textId="77777777" w:rsidR="001E36A9" w:rsidRPr="005767EF" w:rsidRDefault="001E36A9" w:rsidP="00F23A36">
      <w:pPr>
        <w:rPr>
          <w:rFonts w:asciiTheme="minorHAnsi" w:hAnsiTheme="minorHAnsi"/>
          <w:noProof/>
          <w:sz w:val="20"/>
          <w:szCs w:val="20"/>
        </w:rPr>
      </w:pPr>
      <w:r w:rsidRPr="005767EF">
        <w:rPr>
          <w:rFonts w:asciiTheme="minorHAnsi" w:hAnsiTheme="minorHAnsi"/>
          <w:noProof/>
          <w:sz w:val="20"/>
          <w:szCs w:val="20"/>
        </w:rPr>
        <w:t>Odredbama člana 3 Pravilnika o odobravanju garancija („Službeni glasnik Republike Srpske“, broj 14/21) određene su sledeće vrste garantnih linija po kojima se odobravaju garancije:</w:t>
      </w:r>
    </w:p>
    <w:p w14:paraId="29CF2473" w14:textId="77777777" w:rsidR="001E36A9" w:rsidRPr="005767EF" w:rsidRDefault="001E36A9" w:rsidP="00F23A36">
      <w:pPr>
        <w:ind w:firstLine="567"/>
        <w:rPr>
          <w:rFonts w:asciiTheme="minorHAnsi" w:hAnsiTheme="minorHAnsi"/>
          <w:noProof/>
          <w:sz w:val="20"/>
          <w:szCs w:val="20"/>
        </w:rPr>
      </w:pPr>
    </w:p>
    <w:p w14:paraId="0AB620C7" w14:textId="77777777" w:rsidR="001E36A9" w:rsidRPr="001E36A9" w:rsidRDefault="001E36A9" w:rsidP="001E36A9">
      <w:pPr>
        <w:pStyle w:val="ListParagraph"/>
        <w:numPr>
          <w:ilvl w:val="0"/>
          <w:numId w:val="30"/>
        </w:numPr>
        <w:tabs>
          <w:tab w:val="num" w:pos="720"/>
        </w:tabs>
        <w:rPr>
          <w:rFonts w:asciiTheme="minorHAnsi" w:hAnsiTheme="minorHAnsi"/>
          <w:noProof/>
          <w:sz w:val="20"/>
          <w:szCs w:val="20"/>
          <w:lang w:val="sr-Cyrl-RS"/>
        </w:rPr>
      </w:pPr>
      <w:r w:rsidRPr="001E36A9">
        <w:rPr>
          <w:rFonts w:asciiTheme="minorHAnsi" w:hAnsiTheme="minorHAnsi"/>
          <w:noProof/>
          <w:sz w:val="20"/>
          <w:szCs w:val="20"/>
        </w:rPr>
        <w:t xml:space="preserve">Start-up garancija – korisnici: preduzetnici i pravna lica koja obavljaju registrovanu delatnost sa ciljem da ne duže od 12 meseci ostvari profit </w:t>
      </w:r>
    </w:p>
    <w:p w14:paraId="08143356" w14:textId="77777777" w:rsidR="001E36A9" w:rsidRPr="001E36A9" w:rsidRDefault="001E36A9" w:rsidP="001E36A9">
      <w:pPr>
        <w:pStyle w:val="ListParagraph"/>
        <w:numPr>
          <w:ilvl w:val="0"/>
          <w:numId w:val="30"/>
        </w:numPr>
        <w:tabs>
          <w:tab w:val="num" w:pos="720"/>
        </w:tabs>
        <w:rPr>
          <w:rFonts w:asciiTheme="minorHAnsi" w:hAnsiTheme="minorHAnsi"/>
          <w:noProof/>
          <w:sz w:val="20"/>
          <w:szCs w:val="20"/>
          <w:lang w:val="sr-Cyrl-RS"/>
        </w:rPr>
      </w:pPr>
      <w:r w:rsidRPr="001E36A9">
        <w:rPr>
          <w:rFonts w:asciiTheme="minorHAnsi" w:hAnsiTheme="minorHAnsi"/>
          <w:noProof/>
          <w:sz w:val="20"/>
          <w:szCs w:val="20"/>
        </w:rPr>
        <w:t xml:space="preserve">Garantna linija za registrovana poljoprivredna gazdinstva – korisnici: lica koja su upisana u Registar poljoprivrednih gazdinstava kod APIF-a </w:t>
      </w:r>
    </w:p>
    <w:p w14:paraId="0A0210D5" w14:textId="77777777" w:rsidR="001E36A9" w:rsidRPr="001E36A9" w:rsidRDefault="001E36A9" w:rsidP="001E36A9">
      <w:pPr>
        <w:pStyle w:val="ListParagraph"/>
        <w:numPr>
          <w:ilvl w:val="0"/>
          <w:numId w:val="30"/>
        </w:numPr>
        <w:tabs>
          <w:tab w:val="num" w:pos="720"/>
        </w:tabs>
        <w:rPr>
          <w:rFonts w:asciiTheme="minorHAnsi" w:hAnsiTheme="minorHAnsi"/>
          <w:noProof/>
          <w:sz w:val="20"/>
          <w:szCs w:val="20"/>
          <w:lang w:val="sr-Cyrl-RS"/>
        </w:rPr>
      </w:pPr>
      <w:r w:rsidRPr="001E36A9">
        <w:rPr>
          <w:rFonts w:asciiTheme="minorHAnsi" w:hAnsiTheme="minorHAnsi"/>
          <w:noProof/>
          <w:sz w:val="20"/>
          <w:szCs w:val="20"/>
        </w:rPr>
        <w:t>Garantna linija za preduzetnike – korisnici: preduzetnici koji obavljaju registrovanu djelatnost u cilju sticanja dobiti</w:t>
      </w:r>
    </w:p>
    <w:p w14:paraId="0C4C83C3" w14:textId="77777777" w:rsidR="001E36A9" w:rsidRPr="001E36A9" w:rsidRDefault="001E36A9" w:rsidP="001E36A9">
      <w:pPr>
        <w:pStyle w:val="ListParagraph"/>
        <w:numPr>
          <w:ilvl w:val="0"/>
          <w:numId w:val="30"/>
        </w:numPr>
        <w:tabs>
          <w:tab w:val="num" w:pos="720"/>
        </w:tabs>
        <w:rPr>
          <w:rFonts w:asciiTheme="minorHAnsi" w:hAnsiTheme="minorHAnsi"/>
          <w:noProof/>
          <w:sz w:val="20"/>
          <w:szCs w:val="20"/>
          <w:lang w:val="sr-Cyrl-RS"/>
        </w:rPr>
      </w:pPr>
      <w:r w:rsidRPr="001E36A9">
        <w:rPr>
          <w:rFonts w:asciiTheme="minorHAnsi" w:hAnsiTheme="minorHAnsi"/>
          <w:noProof/>
          <w:sz w:val="20"/>
          <w:szCs w:val="20"/>
        </w:rPr>
        <w:t xml:space="preserve">Garantna linija za poljoprivredu – korisnici: pravna lica koja se bave proizvodnjom i preradom u poljoprivredi ili ribarstvu  </w:t>
      </w:r>
    </w:p>
    <w:p w14:paraId="6E679525" w14:textId="124FE557" w:rsidR="001E36A9" w:rsidRPr="001E36A9" w:rsidRDefault="001E36A9" w:rsidP="001E36A9">
      <w:pPr>
        <w:pStyle w:val="ListParagraph"/>
        <w:numPr>
          <w:ilvl w:val="0"/>
          <w:numId w:val="30"/>
        </w:numPr>
        <w:tabs>
          <w:tab w:val="num" w:pos="720"/>
        </w:tabs>
        <w:rPr>
          <w:rFonts w:asciiTheme="minorHAnsi" w:hAnsiTheme="minorHAnsi"/>
          <w:noProof/>
          <w:sz w:val="20"/>
          <w:szCs w:val="20"/>
          <w:lang w:val="sr-Cyrl-RS"/>
        </w:rPr>
      </w:pPr>
      <w:r w:rsidRPr="001E36A9">
        <w:rPr>
          <w:rFonts w:asciiTheme="minorHAnsi" w:hAnsiTheme="minorHAnsi"/>
          <w:noProof/>
          <w:sz w:val="20"/>
          <w:szCs w:val="20"/>
        </w:rPr>
        <w:t>Garantna linija za privredna društva – korisnici: pravna lica koja obavljaju registrovanu djelatnost u cilju sticanja dobiti</w:t>
      </w:r>
    </w:p>
    <w:p w14:paraId="16D1AD52" w14:textId="77777777" w:rsidR="001E36A9" w:rsidRPr="001E36A9" w:rsidRDefault="001E36A9" w:rsidP="001E36A9">
      <w:pPr>
        <w:pStyle w:val="ListParagraph"/>
        <w:numPr>
          <w:ilvl w:val="0"/>
          <w:numId w:val="30"/>
        </w:numPr>
        <w:tabs>
          <w:tab w:val="num" w:pos="720"/>
        </w:tabs>
        <w:rPr>
          <w:rFonts w:asciiTheme="minorHAnsi" w:hAnsiTheme="minorHAnsi"/>
          <w:noProof/>
          <w:sz w:val="20"/>
          <w:szCs w:val="20"/>
          <w:lang w:val="sr-Cyrl-RS"/>
        </w:rPr>
      </w:pPr>
      <w:r w:rsidRPr="001E36A9">
        <w:rPr>
          <w:rFonts w:asciiTheme="minorHAnsi" w:hAnsiTheme="minorHAnsi"/>
          <w:noProof/>
          <w:sz w:val="20"/>
          <w:szCs w:val="20"/>
        </w:rPr>
        <w:t>Garantna linija za podršku izvozu - pravna lica koja obavljaju izvoz</w:t>
      </w:r>
    </w:p>
    <w:p w14:paraId="04F2E674" w14:textId="77777777" w:rsidR="001E36A9" w:rsidRPr="005767EF" w:rsidRDefault="001E36A9" w:rsidP="00F23A36">
      <w:pPr>
        <w:spacing w:after="100" w:afterAutospacing="1"/>
        <w:ind w:left="360"/>
        <w:rPr>
          <w:rFonts w:asciiTheme="minorHAnsi" w:hAnsiTheme="minorHAnsi"/>
          <w:sz w:val="20"/>
          <w:szCs w:val="20"/>
          <w:lang w:val="sr-Cyrl-BA"/>
        </w:rPr>
      </w:pPr>
    </w:p>
    <w:p w14:paraId="00C239B3" w14:textId="77777777" w:rsidR="00F51899" w:rsidRPr="005767EF" w:rsidRDefault="00F51899" w:rsidP="006408FC">
      <w:pPr>
        <w:spacing w:after="100" w:afterAutospacing="1"/>
        <w:rPr>
          <w:rFonts w:asciiTheme="minorHAnsi" w:hAnsiTheme="minorHAnsi"/>
          <w:sz w:val="20"/>
          <w:szCs w:val="20"/>
        </w:rPr>
      </w:pPr>
      <w:r w:rsidRPr="005767EF">
        <w:rPr>
          <w:rFonts w:asciiTheme="minorHAnsi" w:hAnsiTheme="minorHAnsi"/>
          <w:sz w:val="20"/>
          <w:szCs w:val="20"/>
        </w:rPr>
        <w:t>Pored navedenog postoje posebnim odlukama Skupštine akcionara uvedene su i slijedeće garantne linije za početne poslovne aktivnosti:</w:t>
      </w:r>
    </w:p>
    <w:p w14:paraId="362C447F" w14:textId="77777777" w:rsidR="00F51899" w:rsidRPr="005767EF" w:rsidRDefault="00F51899" w:rsidP="00F51899">
      <w:pPr>
        <w:pStyle w:val="ListParagraph"/>
        <w:numPr>
          <w:ilvl w:val="0"/>
          <w:numId w:val="31"/>
        </w:numPr>
        <w:spacing w:after="100" w:afterAutospacing="1"/>
        <w:rPr>
          <w:rFonts w:asciiTheme="minorHAnsi" w:hAnsiTheme="minorHAnsi"/>
          <w:sz w:val="20"/>
          <w:szCs w:val="20"/>
        </w:rPr>
      </w:pPr>
      <w:r w:rsidRPr="005767EF">
        <w:rPr>
          <w:rFonts w:asciiTheme="minorHAnsi" w:hAnsiTheme="minorHAnsi"/>
          <w:sz w:val="20"/>
          <w:szCs w:val="20"/>
        </w:rPr>
        <w:t>Garantna linija za početne poslovne aktivnosti na području razvoja informaciono-komunikacionih tehnologija</w:t>
      </w:r>
    </w:p>
    <w:p w14:paraId="5B4C8604" w14:textId="77777777" w:rsidR="00F51899" w:rsidRPr="005767EF" w:rsidRDefault="00F51899" w:rsidP="00F51899">
      <w:pPr>
        <w:pStyle w:val="ListParagraph"/>
        <w:numPr>
          <w:ilvl w:val="0"/>
          <w:numId w:val="31"/>
        </w:numPr>
        <w:spacing w:after="100" w:afterAutospacing="1"/>
        <w:rPr>
          <w:rFonts w:asciiTheme="minorHAnsi" w:hAnsiTheme="minorHAnsi"/>
          <w:sz w:val="20"/>
          <w:szCs w:val="20"/>
        </w:rPr>
      </w:pPr>
      <w:r w:rsidRPr="005767EF">
        <w:rPr>
          <w:rFonts w:asciiTheme="minorHAnsi" w:hAnsiTheme="minorHAnsi"/>
          <w:sz w:val="20"/>
          <w:szCs w:val="20"/>
        </w:rPr>
        <w:t xml:space="preserve">Garantna linija za početne poslovne aktivnosti na području razvoja seoskog lovnog i eko turizma </w:t>
      </w:r>
    </w:p>
    <w:p w14:paraId="21BE3081" w14:textId="77777777" w:rsidR="00F51899" w:rsidRPr="005767EF" w:rsidRDefault="00F51899" w:rsidP="00F51899">
      <w:pPr>
        <w:pStyle w:val="ListParagraph"/>
        <w:numPr>
          <w:ilvl w:val="0"/>
          <w:numId w:val="31"/>
        </w:numPr>
        <w:spacing w:after="100" w:afterAutospacing="1"/>
        <w:rPr>
          <w:rFonts w:asciiTheme="minorHAnsi" w:hAnsiTheme="minorHAnsi"/>
          <w:sz w:val="20"/>
          <w:szCs w:val="20"/>
        </w:rPr>
      </w:pPr>
      <w:r w:rsidRPr="005767EF">
        <w:rPr>
          <w:rFonts w:asciiTheme="minorHAnsi" w:hAnsiTheme="minorHAnsi"/>
          <w:sz w:val="20"/>
          <w:szCs w:val="20"/>
        </w:rPr>
        <w:t xml:space="preserve">Garantna linija za početne poslovne aktivnosti u sektoru uzgoja i prerade jagodičastog voća </w:t>
      </w:r>
    </w:p>
    <w:p w14:paraId="185791AB" w14:textId="77777777" w:rsidR="00F51899" w:rsidRPr="005767EF" w:rsidRDefault="00F51899" w:rsidP="00F51899">
      <w:pPr>
        <w:pStyle w:val="ListParagraph"/>
        <w:numPr>
          <w:ilvl w:val="0"/>
          <w:numId w:val="31"/>
        </w:numPr>
        <w:spacing w:after="100" w:afterAutospacing="1"/>
        <w:rPr>
          <w:rFonts w:asciiTheme="minorHAnsi" w:hAnsiTheme="minorHAnsi"/>
          <w:sz w:val="20"/>
          <w:szCs w:val="20"/>
        </w:rPr>
      </w:pPr>
      <w:r w:rsidRPr="005767EF">
        <w:rPr>
          <w:rFonts w:asciiTheme="minorHAnsi" w:hAnsiTheme="minorHAnsi"/>
          <w:sz w:val="20"/>
          <w:szCs w:val="20"/>
        </w:rPr>
        <w:t xml:space="preserve">Garantna linija za početne poslovne aktivnosti u oblasti govedarstva, ovčarstva, kozarstva i svinjarstva </w:t>
      </w:r>
    </w:p>
    <w:p w14:paraId="727C0790" w14:textId="77777777" w:rsidR="00F51899" w:rsidRPr="005767EF" w:rsidRDefault="00F51899" w:rsidP="006408FC">
      <w:pPr>
        <w:spacing w:after="100" w:afterAutospacing="1"/>
        <w:rPr>
          <w:rFonts w:asciiTheme="minorHAnsi" w:hAnsiTheme="minorHAnsi"/>
          <w:sz w:val="20"/>
          <w:szCs w:val="20"/>
        </w:rPr>
      </w:pPr>
      <w:r w:rsidRPr="005767EF">
        <w:rPr>
          <w:rFonts w:asciiTheme="minorHAnsi" w:hAnsiTheme="minorHAnsi"/>
          <w:sz w:val="20"/>
          <w:szCs w:val="20"/>
        </w:rPr>
        <w:t>Sa Bankom Poštanska štedionica ad Banja Luka, koja je pravni slijednik Komercijalne banke ad Banja Luka na snazi su i ugovori za posebne garantno-kreditne linije i to :</w:t>
      </w:r>
    </w:p>
    <w:p w14:paraId="1B3B133B" w14:textId="77777777" w:rsidR="00F51899" w:rsidRPr="005767EF" w:rsidRDefault="00F51899" w:rsidP="00F51899">
      <w:pPr>
        <w:pStyle w:val="ListParagraph"/>
        <w:numPr>
          <w:ilvl w:val="0"/>
          <w:numId w:val="32"/>
        </w:numPr>
        <w:spacing w:after="100" w:afterAutospacing="1"/>
        <w:rPr>
          <w:rFonts w:asciiTheme="minorHAnsi" w:hAnsiTheme="minorHAnsi"/>
          <w:sz w:val="20"/>
          <w:szCs w:val="20"/>
          <w:lang w:val="sr-Cyrl-BA"/>
        </w:rPr>
      </w:pPr>
      <w:r w:rsidRPr="005767EF">
        <w:rPr>
          <w:rFonts w:asciiTheme="minorHAnsi" w:hAnsiTheme="minorHAnsi"/>
          <w:sz w:val="20"/>
          <w:szCs w:val="20"/>
        </w:rPr>
        <w:t>Posebna garantno-kreditna linija za podsticaj razvoja privrednih subjekata</w:t>
      </w:r>
    </w:p>
    <w:p w14:paraId="445D71E9" w14:textId="77777777" w:rsidR="00F51899" w:rsidRPr="005767EF" w:rsidRDefault="00F51899" w:rsidP="00F51899">
      <w:pPr>
        <w:pStyle w:val="ListParagraph"/>
        <w:numPr>
          <w:ilvl w:val="0"/>
          <w:numId w:val="32"/>
        </w:numPr>
        <w:autoSpaceDE w:val="0"/>
        <w:autoSpaceDN w:val="0"/>
        <w:adjustRightInd w:val="0"/>
        <w:spacing w:after="100" w:afterAutospacing="1"/>
        <w:rPr>
          <w:rFonts w:asciiTheme="minorHAnsi" w:eastAsiaTheme="minorHAnsi" w:hAnsiTheme="minorHAnsi"/>
          <w:color w:val="auto"/>
          <w:sz w:val="20"/>
          <w:szCs w:val="20"/>
          <w:lang w:val="sr-Cyrl-BA" w:eastAsia="en-US"/>
        </w:rPr>
      </w:pPr>
      <w:r w:rsidRPr="005767EF">
        <w:rPr>
          <w:rFonts w:asciiTheme="minorHAnsi" w:hAnsiTheme="minorHAnsi"/>
          <w:sz w:val="20"/>
          <w:szCs w:val="20"/>
        </w:rPr>
        <w:t xml:space="preserve">Specijalni GKL za poljoprivredu </w:t>
      </w:r>
    </w:p>
    <w:p w14:paraId="357F889D" w14:textId="77777777" w:rsidR="00F53A19" w:rsidRPr="005767EF" w:rsidRDefault="00F53A19" w:rsidP="001538EF">
      <w:pPr>
        <w:autoSpaceDE w:val="0"/>
        <w:autoSpaceDN w:val="0"/>
        <w:adjustRightInd w:val="0"/>
        <w:rPr>
          <w:rFonts w:asciiTheme="minorHAnsi" w:eastAsiaTheme="minorHAnsi" w:hAnsiTheme="minorHAnsi"/>
          <w:color w:val="auto"/>
          <w:sz w:val="20"/>
          <w:szCs w:val="20"/>
          <w:lang w:eastAsia="en-US"/>
        </w:rPr>
      </w:pPr>
    </w:p>
    <w:p w14:paraId="78A8AEF2" w14:textId="77777777" w:rsidR="00F53A19" w:rsidRPr="005767EF" w:rsidRDefault="00F53A19" w:rsidP="001538EF">
      <w:pPr>
        <w:autoSpaceDE w:val="0"/>
        <w:autoSpaceDN w:val="0"/>
        <w:adjustRightInd w:val="0"/>
        <w:rPr>
          <w:rFonts w:asciiTheme="minorHAnsi" w:eastAsiaTheme="minorHAnsi" w:hAnsiTheme="minorHAnsi"/>
          <w:color w:val="auto"/>
          <w:sz w:val="20"/>
          <w:szCs w:val="20"/>
          <w:lang w:eastAsia="en-US"/>
        </w:rPr>
      </w:pPr>
    </w:p>
    <w:p w14:paraId="7A4C77CA" w14:textId="77777777" w:rsidR="00F53A19" w:rsidRPr="005767EF" w:rsidRDefault="00F53A19" w:rsidP="001538EF">
      <w:pPr>
        <w:autoSpaceDE w:val="0"/>
        <w:autoSpaceDN w:val="0"/>
        <w:adjustRightInd w:val="0"/>
        <w:rPr>
          <w:rFonts w:asciiTheme="minorHAnsi" w:eastAsiaTheme="minorHAnsi" w:hAnsiTheme="minorHAnsi"/>
          <w:color w:val="auto"/>
          <w:sz w:val="20"/>
          <w:szCs w:val="20"/>
          <w:lang w:eastAsia="en-US"/>
        </w:rPr>
      </w:pPr>
    </w:p>
    <w:p w14:paraId="629C8694" w14:textId="77777777" w:rsidR="00F53A19" w:rsidRDefault="00F53A19" w:rsidP="001538EF">
      <w:pPr>
        <w:autoSpaceDE w:val="0"/>
        <w:autoSpaceDN w:val="0"/>
        <w:adjustRightInd w:val="0"/>
        <w:rPr>
          <w:rFonts w:asciiTheme="minorHAnsi" w:eastAsiaTheme="minorHAnsi" w:hAnsiTheme="minorHAnsi"/>
          <w:color w:val="auto"/>
          <w:sz w:val="20"/>
          <w:szCs w:val="20"/>
          <w:lang w:val="sr-Cyrl-RS" w:eastAsia="en-US"/>
        </w:rPr>
      </w:pPr>
    </w:p>
    <w:p w14:paraId="29E3C1E5"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219237C6"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017268A5"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1D2540E2"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3936E7C2"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0A65D1A9"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7F2909D2"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646ABDCA"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6DFFDC00"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0BA7E23E"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429F09EA" w14:textId="77777777" w:rsidR="005767EF" w:rsidRDefault="005767EF" w:rsidP="001538EF">
      <w:pPr>
        <w:autoSpaceDE w:val="0"/>
        <w:autoSpaceDN w:val="0"/>
        <w:adjustRightInd w:val="0"/>
        <w:rPr>
          <w:rFonts w:asciiTheme="minorHAnsi" w:eastAsiaTheme="minorHAnsi" w:hAnsiTheme="minorHAnsi"/>
          <w:color w:val="auto"/>
          <w:sz w:val="20"/>
          <w:szCs w:val="20"/>
          <w:lang w:val="sr-Cyrl-RS" w:eastAsia="en-US"/>
        </w:rPr>
      </w:pPr>
    </w:p>
    <w:p w14:paraId="6A4C21FC" w14:textId="77777777" w:rsidR="005767EF" w:rsidRDefault="005767EF" w:rsidP="001538EF">
      <w:pPr>
        <w:autoSpaceDE w:val="0"/>
        <w:autoSpaceDN w:val="0"/>
        <w:adjustRightInd w:val="0"/>
        <w:rPr>
          <w:rFonts w:asciiTheme="minorHAnsi" w:eastAsiaTheme="minorHAnsi" w:hAnsiTheme="minorHAnsi"/>
          <w:color w:val="auto"/>
          <w:sz w:val="20"/>
          <w:szCs w:val="20"/>
          <w:lang w:val="sr-Latn-BA" w:eastAsia="en-US"/>
        </w:rPr>
      </w:pPr>
    </w:p>
    <w:p w14:paraId="2DD5DFB0" w14:textId="77777777" w:rsidR="009124BC" w:rsidRPr="009124BC" w:rsidRDefault="009124BC" w:rsidP="001538EF">
      <w:pPr>
        <w:autoSpaceDE w:val="0"/>
        <w:autoSpaceDN w:val="0"/>
        <w:adjustRightInd w:val="0"/>
        <w:rPr>
          <w:rFonts w:asciiTheme="minorHAnsi" w:eastAsiaTheme="minorHAnsi" w:hAnsiTheme="minorHAnsi"/>
          <w:color w:val="auto"/>
          <w:sz w:val="20"/>
          <w:szCs w:val="20"/>
          <w:lang w:val="sr-Latn-BA" w:eastAsia="en-US"/>
        </w:rPr>
      </w:pPr>
    </w:p>
    <w:p w14:paraId="042B7A52" w14:textId="77777777" w:rsidR="009124BC" w:rsidRPr="000C2D2F" w:rsidRDefault="009124BC" w:rsidP="001F5ED1">
      <w:pPr>
        <w:pStyle w:val="ListParagraph"/>
        <w:autoSpaceDE w:val="0"/>
        <w:autoSpaceDN w:val="0"/>
        <w:adjustRightInd w:val="0"/>
        <w:ind w:left="0"/>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eastAsia="en-US"/>
        </w:rPr>
        <w:lastRenderedPageBreak/>
        <w:t xml:space="preserve">U tabeli 1 su prikazani podaci o izdanim pojedinačnim garancijama u 2023. godini, u skladu sa odredbama člana 3 Pravilnika o odobravanju garancija (Službeni glasnik Republike Srpske 14/21). </w:t>
      </w:r>
    </w:p>
    <w:p w14:paraId="49FDCD7B" w14:textId="77777777" w:rsidR="005767EF" w:rsidRPr="005767EF" w:rsidRDefault="005767EF" w:rsidP="00AD5361">
      <w:pPr>
        <w:pStyle w:val="ListParagraph"/>
        <w:autoSpaceDE w:val="0"/>
        <w:autoSpaceDN w:val="0"/>
        <w:adjustRightInd w:val="0"/>
        <w:ind w:left="0"/>
        <w:rPr>
          <w:rFonts w:asciiTheme="minorHAnsi" w:eastAsiaTheme="minorHAnsi" w:hAnsiTheme="minorHAnsi"/>
          <w:color w:val="auto"/>
          <w:sz w:val="20"/>
          <w:szCs w:val="20"/>
          <w:lang w:val="sr-Cyrl-RS" w:eastAsia="en-US"/>
        </w:rPr>
      </w:pPr>
    </w:p>
    <w:tbl>
      <w:tblPr>
        <w:tblpPr w:leftFromText="180" w:rightFromText="180" w:vertAnchor="text" w:horzAnchor="margin" w:tblpX="108" w:tblpY="50"/>
        <w:tblOverlap w:val="never"/>
        <w:tblW w:w="8755" w:type="dxa"/>
        <w:tblLayout w:type="fixed"/>
        <w:tblLook w:val="04A0" w:firstRow="1" w:lastRow="0" w:firstColumn="1" w:lastColumn="0" w:noHBand="0" w:noVBand="1"/>
      </w:tblPr>
      <w:tblGrid>
        <w:gridCol w:w="675"/>
        <w:gridCol w:w="3828"/>
        <w:gridCol w:w="1275"/>
        <w:gridCol w:w="1560"/>
        <w:gridCol w:w="1417"/>
      </w:tblGrid>
      <w:tr w:rsidR="00AD5361" w:rsidRPr="005767EF" w14:paraId="49E227DD" w14:textId="77777777" w:rsidTr="00AD5361">
        <w:trPr>
          <w:trHeight w:val="441"/>
        </w:trPr>
        <w:tc>
          <w:tcPr>
            <w:tcW w:w="8755" w:type="dxa"/>
            <w:gridSpan w:val="5"/>
            <w:tcBorders>
              <w:top w:val="nil"/>
              <w:left w:val="nil"/>
              <w:bottom w:val="nil"/>
              <w:right w:val="nil"/>
            </w:tcBorders>
            <w:shd w:val="clear" w:color="000000" w:fill="FFFFFF"/>
          </w:tcPr>
          <w:p w14:paraId="061A1C7F" w14:textId="77777777" w:rsidR="009124BC" w:rsidRDefault="009124BC" w:rsidP="009124BC">
            <w:pPr>
              <w:jc w:val="center"/>
              <w:rPr>
                <w:rFonts w:asciiTheme="minorHAnsi" w:hAnsiTheme="minorHAnsi"/>
                <w:bCs/>
                <w:sz w:val="20"/>
                <w:szCs w:val="20"/>
                <w:lang w:val="sr-Cyrl-RS" w:eastAsia="sr-Latn-RS"/>
              </w:rPr>
            </w:pPr>
            <w:r w:rsidRPr="005767EF">
              <w:rPr>
                <w:rFonts w:asciiTheme="minorHAnsi" w:hAnsiTheme="minorHAnsi"/>
                <w:b/>
                <w:bCs/>
                <w:color w:val="auto"/>
                <w:sz w:val="20"/>
                <w:szCs w:val="20"/>
                <w:lang w:eastAsia="sr-Latn-RS"/>
              </w:rPr>
              <w:t xml:space="preserve">Pregled izdanih garancija po garantnim linijama u periodu 01.01.2023. - 31.12.2023. godine                                                                                                                                                                             </w:t>
            </w:r>
          </w:p>
          <w:p w14:paraId="052C0A99" w14:textId="77777777" w:rsidR="00AD5361" w:rsidRDefault="00AD5361" w:rsidP="00AD5361">
            <w:pPr>
              <w:jc w:val="center"/>
              <w:rPr>
                <w:rFonts w:asciiTheme="minorHAnsi" w:hAnsiTheme="minorHAnsi"/>
                <w:bCs/>
                <w:sz w:val="20"/>
                <w:szCs w:val="20"/>
                <w:lang w:val="sr-Cyrl-RS" w:eastAsia="sr-Latn-RS"/>
              </w:rPr>
            </w:pPr>
          </w:p>
          <w:p w14:paraId="059F4336" w14:textId="5C8EE1E0" w:rsidR="00AD5361" w:rsidRPr="00AD5361" w:rsidRDefault="00AD5361" w:rsidP="00AD5361">
            <w:pPr>
              <w:jc w:val="right"/>
              <w:rPr>
                <w:rFonts w:asciiTheme="minorHAnsi" w:hAnsiTheme="minorHAnsi"/>
                <w:b/>
                <w:bCs/>
                <w:color w:val="auto"/>
                <w:sz w:val="20"/>
                <w:szCs w:val="20"/>
                <w:lang w:val="sr-Cyrl-RS" w:eastAsia="sr-Latn-RS"/>
              </w:rPr>
            </w:pPr>
            <w:r>
              <w:rPr>
                <w:rFonts w:asciiTheme="minorHAnsi" w:hAnsiTheme="minorHAnsi"/>
                <w:bCs/>
                <w:sz w:val="20"/>
                <w:szCs w:val="20"/>
                <w:lang w:eastAsia="sr-Latn-RS"/>
              </w:rPr>
              <w:t xml:space="preserve">  </w:t>
            </w:r>
            <w:r w:rsidR="009124BC">
              <w:rPr>
                <w:rFonts w:asciiTheme="minorHAnsi" w:hAnsiTheme="minorHAnsi"/>
                <w:b/>
                <w:bCs/>
                <w:sz w:val="20"/>
                <w:szCs w:val="20"/>
                <w:lang w:eastAsia="sr-Latn-RS"/>
              </w:rPr>
              <w:t>Tabela 1</w:t>
            </w:r>
          </w:p>
        </w:tc>
      </w:tr>
      <w:tr w:rsidR="00B75871" w:rsidRPr="005767EF" w14:paraId="7A51A88E" w14:textId="77777777" w:rsidTr="00AD5361">
        <w:trPr>
          <w:trHeight w:val="825"/>
        </w:trPr>
        <w:tc>
          <w:tcPr>
            <w:tcW w:w="6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04201A70" w14:textId="73DDD59B" w:rsidR="00B75871" w:rsidRPr="005767EF" w:rsidRDefault="009124BC" w:rsidP="009124BC">
            <w:pPr>
              <w:ind w:right="-108"/>
              <w:rPr>
                <w:rFonts w:asciiTheme="minorHAnsi" w:hAnsiTheme="minorHAnsi"/>
                <w:b/>
                <w:sz w:val="20"/>
                <w:szCs w:val="20"/>
                <w:lang w:val="sr-Cyrl-BA" w:eastAsia="sr-Latn-RS"/>
              </w:rPr>
            </w:pPr>
            <w:bookmarkStart w:id="6" w:name="_Toc514323448"/>
            <w:r>
              <w:rPr>
                <w:rFonts w:asciiTheme="minorHAnsi" w:hAnsiTheme="minorHAnsi"/>
                <w:b/>
                <w:sz w:val="20"/>
                <w:szCs w:val="20"/>
                <w:lang w:eastAsia="sr-Latn-RS"/>
              </w:rPr>
              <w:t>Redni broj</w:t>
            </w:r>
          </w:p>
        </w:tc>
        <w:tc>
          <w:tcPr>
            <w:tcW w:w="382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5EA2E34C" w14:textId="77777777" w:rsidR="00B75871" w:rsidRPr="005767EF" w:rsidRDefault="00B75871" w:rsidP="00010815">
            <w:pPr>
              <w:jc w:val="center"/>
              <w:rPr>
                <w:rFonts w:asciiTheme="minorHAnsi" w:hAnsiTheme="minorHAnsi"/>
                <w:b/>
                <w:sz w:val="20"/>
                <w:szCs w:val="20"/>
                <w:lang w:val="sr-Latn-RS" w:eastAsia="sr-Latn-RS"/>
              </w:rPr>
            </w:pPr>
            <w:r w:rsidRPr="005767EF">
              <w:rPr>
                <w:rFonts w:asciiTheme="minorHAnsi" w:hAnsiTheme="minorHAnsi"/>
                <w:b/>
                <w:sz w:val="20"/>
                <w:szCs w:val="20"/>
                <w:lang w:eastAsia="sr-Latn-RS"/>
              </w:rPr>
              <w:t>Poreski obveznik</w:t>
            </w:r>
          </w:p>
        </w:tc>
        <w:tc>
          <w:tcPr>
            <w:tcW w:w="12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9F6C5AF" w14:textId="4CB362E9" w:rsidR="00B75871" w:rsidRPr="00AD5361" w:rsidRDefault="009124BC" w:rsidP="00AD5361">
            <w:pPr>
              <w:jc w:val="center"/>
              <w:rPr>
                <w:rFonts w:asciiTheme="minorHAnsi" w:hAnsiTheme="minorHAnsi"/>
                <w:b/>
                <w:sz w:val="20"/>
                <w:szCs w:val="20"/>
                <w:lang w:val="sr-Cyrl-RS" w:eastAsia="sr-Latn-RS"/>
              </w:rPr>
            </w:pPr>
            <w:r>
              <w:rPr>
                <w:rFonts w:asciiTheme="minorHAnsi" w:hAnsiTheme="minorHAnsi"/>
                <w:b/>
                <w:sz w:val="20"/>
                <w:szCs w:val="20"/>
                <w:lang w:eastAsia="sr-Latn-RS"/>
              </w:rPr>
              <w:t>Broj garancija</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B0A93B3" w14:textId="589728AB" w:rsidR="00B75871" w:rsidRPr="005767EF" w:rsidRDefault="009124BC" w:rsidP="00010815">
            <w:pPr>
              <w:jc w:val="center"/>
              <w:rPr>
                <w:rFonts w:asciiTheme="minorHAnsi" w:hAnsiTheme="minorHAnsi"/>
                <w:b/>
                <w:sz w:val="20"/>
                <w:szCs w:val="20"/>
                <w:lang w:val="sr-Latn-RS" w:eastAsia="sr-Latn-RS"/>
              </w:rPr>
            </w:pPr>
            <w:r w:rsidRPr="005767EF">
              <w:rPr>
                <w:rFonts w:asciiTheme="minorHAnsi" w:hAnsiTheme="minorHAnsi"/>
                <w:b/>
                <w:sz w:val="20"/>
                <w:szCs w:val="20"/>
                <w:lang w:eastAsia="sr-Latn-RS"/>
              </w:rPr>
              <w:t>Iznos kredita</w:t>
            </w:r>
          </w:p>
        </w:tc>
        <w:tc>
          <w:tcPr>
            <w:tcW w:w="1417"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5FD14505" w14:textId="3CA8DCF2" w:rsidR="00B75871" w:rsidRPr="005767EF" w:rsidRDefault="009124BC" w:rsidP="00010815">
            <w:pPr>
              <w:jc w:val="center"/>
              <w:rPr>
                <w:rFonts w:asciiTheme="minorHAnsi" w:hAnsiTheme="minorHAnsi"/>
                <w:b/>
                <w:sz w:val="20"/>
                <w:szCs w:val="20"/>
                <w:lang w:val="sr-Cyrl-RS" w:eastAsia="sr-Latn-RS"/>
              </w:rPr>
            </w:pPr>
            <w:r w:rsidRPr="005767EF">
              <w:rPr>
                <w:rFonts w:asciiTheme="minorHAnsi" w:hAnsiTheme="minorHAnsi"/>
                <w:b/>
                <w:sz w:val="20"/>
                <w:szCs w:val="20"/>
                <w:lang w:eastAsia="sr-Latn-RS"/>
              </w:rPr>
              <w:t>Iznos garancije</w:t>
            </w:r>
          </w:p>
        </w:tc>
      </w:tr>
      <w:tr w:rsidR="00B75871" w:rsidRPr="005767EF" w14:paraId="18B9DD11"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29BC4453"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1.</w:t>
            </w:r>
          </w:p>
        </w:tc>
        <w:tc>
          <w:tcPr>
            <w:tcW w:w="3828" w:type="dxa"/>
            <w:tcBorders>
              <w:top w:val="single" w:sz="4" w:space="0" w:color="auto"/>
              <w:left w:val="nil"/>
              <w:bottom w:val="single" w:sz="4" w:space="0" w:color="auto"/>
              <w:right w:val="single" w:sz="4" w:space="0" w:color="auto"/>
            </w:tcBorders>
            <w:shd w:val="clear" w:color="000000" w:fill="FFFFFF"/>
          </w:tcPr>
          <w:p w14:paraId="3695FDFE" w14:textId="6F243E76" w:rsidR="00B75871" w:rsidRPr="005767EF" w:rsidRDefault="009124BC" w:rsidP="00010815">
            <w:pPr>
              <w:jc w:val="left"/>
              <w:rPr>
                <w:rFonts w:asciiTheme="minorHAnsi" w:hAnsiTheme="minorHAnsi"/>
                <w:caps/>
                <w:sz w:val="20"/>
                <w:szCs w:val="20"/>
                <w:lang w:val="sr-Cyrl-RS" w:eastAsia="sr-Latn-RS"/>
              </w:rPr>
            </w:pPr>
            <w:r w:rsidRPr="005767EF">
              <w:rPr>
                <w:rFonts w:asciiTheme="minorHAnsi" w:hAnsiTheme="minorHAnsi"/>
                <w:caps/>
                <w:sz w:val="20"/>
                <w:szCs w:val="20"/>
                <w:lang w:eastAsia="sr-Latn-RS"/>
              </w:rPr>
              <w:t xml:space="preserve">FRUCTUM  </w:t>
            </w:r>
            <w:r>
              <w:rPr>
                <w:rFonts w:asciiTheme="minorHAnsi" w:hAnsiTheme="minorHAnsi"/>
                <w:sz w:val="20"/>
                <w:szCs w:val="20"/>
                <w:lang w:eastAsia="sr-Latn-RS"/>
              </w:rPr>
              <w:t>d.o.o. Lopare</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333DCAF2" w14:textId="77777777" w:rsidR="00B75871" w:rsidRPr="005767EF" w:rsidRDefault="00B75871" w:rsidP="00AD5361">
            <w:pPr>
              <w:ind w:left="-249" w:right="33"/>
              <w:jc w:val="right"/>
              <w:rPr>
                <w:rFonts w:asciiTheme="minorHAnsi" w:hAnsiTheme="minorHAnsi"/>
                <w:color w:val="auto"/>
                <w:sz w:val="20"/>
                <w:szCs w:val="20"/>
                <w:lang w:val="sr-Cyrl-RS"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649F7F4D" w14:textId="77777777" w:rsidR="00B75871" w:rsidRPr="005767EF" w:rsidRDefault="00B75871" w:rsidP="00847B43">
            <w:pPr>
              <w:ind w:left="-249" w:right="33"/>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eastAsia="sr-Latn-RS"/>
              </w:rPr>
              <w:t>300.000,00</w:t>
            </w:r>
          </w:p>
        </w:tc>
        <w:tc>
          <w:tcPr>
            <w:tcW w:w="1417" w:type="dxa"/>
            <w:tcBorders>
              <w:top w:val="nil"/>
              <w:left w:val="nil"/>
              <w:bottom w:val="single" w:sz="4" w:space="0" w:color="auto"/>
              <w:right w:val="single" w:sz="4" w:space="0" w:color="auto"/>
            </w:tcBorders>
            <w:shd w:val="clear" w:color="000000" w:fill="FFFFFF"/>
            <w:vAlign w:val="center"/>
          </w:tcPr>
          <w:p w14:paraId="55E3A18F" w14:textId="77777777" w:rsidR="00B75871" w:rsidRPr="005767EF" w:rsidRDefault="00B75871" w:rsidP="0056585F">
            <w:pPr>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eastAsia="sr-Latn-RS"/>
              </w:rPr>
              <w:t>140.610,00</w:t>
            </w:r>
          </w:p>
        </w:tc>
      </w:tr>
      <w:tr w:rsidR="00B75871" w:rsidRPr="005767EF" w14:paraId="5A9429B3" w14:textId="77777777" w:rsidTr="00AD5361">
        <w:trPr>
          <w:trHeight w:val="219"/>
        </w:trPr>
        <w:tc>
          <w:tcPr>
            <w:tcW w:w="4503" w:type="dxa"/>
            <w:gridSpan w:val="2"/>
            <w:tcBorders>
              <w:top w:val="nil"/>
              <w:left w:val="single" w:sz="4" w:space="0" w:color="auto"/>
              <w:bottom w:val="single" w:sz="4" w:space="0" w:color="auto"/>
              <w:right w:val="single" w:sz="4" w:space="0" w:color="auto"/>
            </w:tcBorders>
            <w:shd w:val="clear" w:color="auto" w:fill="C6D9F1" w:themeFill="text2" w:themeFillTint="33"/>
          </w:tcPr>
          <w:p w14:paraId="2D62A128" w14:textId="28BD3CB4" w:rsidR="00B75871" w:rsidRPr="005767EF" w:rsidRDefault="009124BC" w:rsidP="00AD5361">
            <w:pPr>
              <w:jc w:val="left"/>
              <w:rPr>
                <w:rFonts w:asciiTheme="minorHAnsi" w:hAnsiTheme="minorHAnsi"/>
                <w:color w:val="auto"/>
                <w:sz w:val="20"/>
                <w:szCs w:val="20"/>
                <w:lang w:val="sr-Cyrl-BA" w:eastAsia="sr-Latn-RS"/>
              </w:rPr>
            </w:pPr>
            <w:r w:rsidRPr="005767EF">
              <w:rPr>
                <w:rFonts w:asciiTheme="minorHAnsi" w:hAnsiTheme="minorHAnsi"/>
                <w:b/>
                <w:color w:val="auto"/>
                <w:sz w:val="20"/>
                <w:szCs w:val="20"/>
                <w:lang w:eastAsia="sr-Latn-RS"/>
              </w:rPr>
              <w:t xml:space="preserve"> UKUPNO : Garantna linija za </w:t>
            </w:r>
            <w:r w:rsidRPr="005767EF">
              <w:rPr>
                <w:rFonts w:asciiTheme="minorHAnsi" w:hAnsiTheme="minorHAnsi"/>
                <w:b/>
                <w:bCs/>
                <w:sz w:val="20"/>
                <w:szCs w:val="20"/>
                <w:lang w:eastAsia="sr-Latn-RS"/>
              </w:rPr>
              <w:t xml:space="preserve">  poljoprivredu </w:t>
            </w:r>
          </w:p>
        </w:tc>
        <w:tc>
          <w:tcPr>
            <w:tcW w:w="1275" w:type="dxa"/>
            <w:tcBorders>
              <w:top w:val="nil"/>
              <w:left w:val="single" w:sz="4" w:space="0" w:color="auto"/>
              <w:bottom w:val="single" w:sz="4" w:space="0" w:color="auto"/>
              <w:right w:val="single" w:sz="4" w:space="0" w:color="auto"/>
            </w:tcBorders>
            <w:shd w:val="clear" w:color="auto" w:fill="C6D9F1" w:themeFill="text2" w:themeFillTint="33"/>
            <w:vAlign w:val="center"/>
          </w:tcPr>
          <w:p w14:paraId="3BCD360D" w14:textId="77777777" w:rsidR="00B75871" w:rsidRPr="005767EF" w:rsidRDefault="00AD5361" w:rsidP="00AD5361">
            <w:pPr>
              <w:ind w:left="-249" w:right="33"/>
              <w:jc w:val="right"/>
              <w:rPr>
                <w:rFonts w:asciiTheme="minorHAnsi" w:hAnsiTheme="minorHAnsi"/>
                <w:b/>
                <w:color w:val="auto"/>
                <w:sz w:val="20"/>
                <w:szCs w:val="20"/>
                <w:lang w:val="sr-Cyrl-BA" w:eastAsia="sr-Latn-RS"/>
              </w:rPr>
            </w:pPr>
            <w:r>
              <w:rPr>
                <w:rFonts w:asciiTheme="minorHAnsi" w:hAnsiTheme="minorHAnsi"/>
                <w:b/>
                <w:color w:val="auto"/>
                <w:sz w:val="20"/>
                <w:szCs w:val="20"/>
                <w:lang w:eastAsia="sr-Latn-RS"/>
              </w:rPr>
              <w:t>1</w:t>
            </w:r>
          </w:p>
        </w:tc>
        <w:tc>
          <w:tcPr>
            <w:tcW w:w="1560" w:type="dxa"/>
            <w:tcBorders>
              <w:top w:val="nil"/>
              <w:left w:val="single" w:sz="4" w:space="0" w:color="auto"/>
              <w:bottom w:val="single" w:sz="4" w:space="0" w:color="auto"/>
              <w:right w:val="single" w:sz="4" w:space="0" w:color="auto"/>
            </w:tcBorders>
            <w:shd w:val="clear" w:color="auto" w:fill="C6D9F1" w:themeFill="text2" w:themeFillTint="33"/>
          </w:tcPr>
          <w:p w14:paraId="4A9F653E" w14:textId="77777777" w:rsidR="00B75871" w:rsidRPr="005767EF" w:rsidRDefault="00B75871" w:rsidP="00847B43">
            <w:pPr>
              <w:ind w:left="-249" w:right="33"/>
              <w:jc w:val="right"/>
              <w:rPr>
                <w:rFonts w:asciiTheme="minorHAnsi" w:hAnsiTheme="minorHAnsi"/>
                <w:b/>
                <w:color w:val="auto"/>
                <w:sz w:val="20"/>
                <w:szCs w:val="20"/>
                <w:lang w:val="sr-Cyrl-BA" w:eastAsia="sr-Latn-RS"/>
              </w:rPr>
            </w:pPr>
            <w:r w:rsidRPr="005767EF">
              <w:rPr>
                <w:rFonts w:asciiTheme="minorHAnsi" w:hAnsiTheme="minorHAnsi"/>
                <w:b/>
                <w:color w:val="auto"/>
                <w:sz w:val="20"/>
                <w:szCs w:val="20"/>
                <w:lang w:eastAsia="sr-Latn-RS"/>
              </w:rPr>
              <w:t>300.000,00</w:t>
            </w:r>
          </w:p>
        </w:tc>
        <w:tc>
          <w:tcPr>
            <w:tcW w:w="1417" w:type="dxa"/>
            <w:tcBorders>
              <w:top w:val="nil"/>
              <w:left w:val="single" w:sz="4" w:space="0" w:color="auto"/>
              <w:bottom w:val="single" w:sz="4" w:space="0" w:color="auto"/>
              <w:right w:val="single" w:sz="4" w:space="0" w:color="auto"/>
            </w:tcBorders>
            <w:shd w:val="clear" w:color="auto" w:fill="C6D9F1" w:themeFill="text2" w:themeFillTint="33"/>
          </w:tcPr>
          <w:p w14:paraId="5FFBD12A" w14:textId="77777777" w:rsidR="00B75871" w:rsidRPr="005767EF" w:rsidRDefault="00B75871" w:rsidP="00847B43">
            <w:pPr>
              <w:jc w:val="right"/>
              <w:rPr>
                <w:rFonts w:asciiTheme="minorHAnsi" w:hAnsiTheme="minorHAnsi"/>
                <w:b/>
                <w:color w:val="auto"/>
                <w:sz w:val="20"/>
                <w:szCs w:val="20"/>
                <w:lang w:val="sr-Cyrl-BA" w:eastAsia="sr-Latn-RS"/>
              </w:rPr>
            </w:pPr>
            <w:r w:rsidRPr="005767EF">
              <w:rPr>
                <w:rFonts w:asciiTheme="minorHAnsi" w:hAnsiTheme="minorHAnsi"/>
                <w:b/>
                <w:color w:val="auto"/>
                <w:sz w:val="20"/>
                <w:szCs w:val="20"/>
                <w:lang w:eastAsia="sr-Latn-RS"/>
              </w:rPr>
              <w:t>140.610,00</w:t>
            </w:r>
          </w:p>
        </w:tc>
      </w:tr>
      <w:tr w:rsidR="00B75871" w:rsidRPr="005767EF" w14:paraId="5D278A56"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01109205"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2.</w:t>
            </w:r>
          </w:p>
        </w:tc>
        <w:tc>
          <w:tcPr>
            <w:tcW w:w="3828" w:type="dxa"/>
            <w:tcBorders>
              <w:top w:val="single" w:sz="4" w:space="0" w:color="auto"/>
              <w:left w:val="nil"/>
              <w:bottom w:val="single" w:sz="4" w:space="0" w:color="auto"/>
              <w:right w:val="single" w:sz="4" w:space="0" w:color="auto"/>
            </w:tcBorders>
            <w:shd w:val="clear" w:color="000000" w:fill="FFFFFF"/>
          </w:tcPr>
          <w:p w14:paraId="73BE830F" w14:textId="47D4404E" w:rsidR="00B75871" w:rsidRPr="005767EF" w:rsidRDefault="009124BC" w:rsidP="00010815">
            <w:pPr>
              <w:jc w:val="left"/>
              <w:rPr>
                <w:rFonts w:asciiTheme="minorHAnsi" w:hAnsiTheme="minorHAnsi"/>
                <w:sz w:val="20"/>
                <w:szCs w:val="20"/>
                <w:lang w:val="sr-Cyrl-RS" w:eastAsia="sr-Latn-RS"/>
              </w:rPr>
            </w:pPr>
            <w:r w:rsidRPr="005767EF">
              <w:rPr>
                <w:rFonts w:asciiTheme="minorHAnsi" w:hAnsiTheme="minorHAnsi"/>
                <w:sz w:val="20"/>
                <w:szCs w:val="20"/>
                <w:lang w:eastAsia="sr-Latn-RS"/>
              </w:rPr>
              <w:t>Pajo D.O. Sokolak</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6EB6CDF5" w14:textId="77777777" w:rsidR="00B75871" w:rsidRPr="005767EF" w:rsidRDefault="00B75871" w:rsidP="00AD5361">
            <w:pPr>
              <w:ind w:left="-249" w:right="33"/>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760830F4" w14:textId="77777777" w:rsidR="00B75871" w:rsidRPr="005767EF" w:rsidRDefault="00B75871" w:rsidP="00847B43">
            <w:pPr>
              <w:ind w:left="-249" w:right="33"/>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1.500.000,00</w:t>
            </w:r>
          </w:p>
        </w:tc>
        <w:tc>
          <w:tcPr>
            <w:tcW w:w="1417" w:type="dxa"/>
            <w:tcBorders>
              <w:top w:val="nil"/>
              <w:left w:val="nil"/>
              <w:bottom w:val="single" w:sz="4" w:space="0" w:color="auto"/>
              <w:right w:val="single" w:sz="4" w:space="0" w:color="auto"/>
            </w:tcBorders>
            <w:shd w:val="clear" w:color="000000" w:fill="FFFFFF"/>
            <w:vAlign w:val="center"/>
          </w:tcPr>
          <w:p w14:paraId="334AF1B5" w14:textId="77777777" w:rsidR="00B75871" w:rsidRPr="005767EF" w:rsidRDefault="00B75871" w:rsidP="0056585F">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249.900,00</w:t>
            </w:r>
          </w:p>
        </w:tc>
      </w:tr>
      <w:tr w:rsidR="00B75871" w:rsidRPr="005767EF" w14:paraId="791034CF"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50F3006C"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3.</w:t>
            </w:r>
          </w:p>
        </w:tc>
        <w:tc>
          <w:tcPr>
            <w:tcW w:w="3828" w:type="dxa"/>
            <w:tcBorders>
              <w:top w:val="single" w:sz="4" w:space="0" w:color="auto"/>
              <w:left w:val="nil"/>
              <w:bottom w:val="single" w:sz="4" w:space="0" w:color="auto"/>
              <w:right w:val="single" w:sz="4" w:space="0" w:color="auto"/>
            </w:tcBorders>
            <w:shd w:val="clear" w:color="000000" w:fill="FFFFFF"/>
          </w:tcPr>
          <w:p w14:paraId="156420C1" w14:textId="3CFC2C81" w:rsidR="00B75871" w:rsidRPr="009124BC" w:rsidRDefault="00B75871" w:rsidP="00010815">
            <w:pPr>
              <w:jc w:val="left"/>
              <w:rPr>
                <w:rFonts w:asciiTheme="minorHAnsi" w:hAnsiTheme="minorHAnsi"/>
                <w:sz w:val="20"/>
                <w:szCs w:val="20"/>
                <w:lang w:val="sr-Latn-BA" w:eastAsia="sr-Latn-RS"/>
              </w:rPr>
            </w:pPr>
            <w:r w:rsidRPr="005767EF">
              <w:rPr>
                <w:rFonts w:asciiTheme="minorHAnsi" w:hAnsiTheme="minorHAnsi"/>
                <w:sz w:val="20"/>
                <w:szCs w:val="20"/>
                <w:lang w:eastAsia="sr-Latn-RS"/>
              </w:rPr>
              <w:t>CASTELLINA SRPSKA d.o.o. Марти</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3D4946B5" w14:textId="77777777" w:rsidR="00B75871" w:rsidRPr="005767EF" w:rsidRDefault="00B75871" w:rsidP="00AD5361">
            <w:pPr>
              <w:ind w:left="-249" w:right="33"/>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3F2A693E" w14:textId="77777777" w:rsidR="00B75871" w:rsidRPr="005767EF" w:rsidRDefault="00B75871" w:rsidP="00847B43">
            <w:pPr>
              <w:ind w:left="-249" w:right="33"/>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2.200.000,00</w:t>
            </w:r>
          </w:p>
        </w:tc>
        <w:tc>
          <w:tcPr>
            <w:tcW w:w="1417" w:type="dxa"/>
            <w:tcBorders>
              <w:top w:val="nil"/>
              <w:left w:val="nil"/>
              <w:bottom w:val="single" w:sz="4" w:space="0" w:color="auto"/>
              <w:right w:val="single" w:sz="4" w:space="0" w:color="auto"/>
            </w:tcBorders>
            <w:shd w:val="clear" w:color="000000" w:fill="FFFFFF"/>
            <w:vAlign w:val="center"/>
          </w:tcPr>
          <w:p w14:paraId="5914410B" w14:textId="77777777" w:rsidR="00B75871" w:rsidRPr="005767EF" w:rsidRDefault="00B75871" w:rsidP="0056585F">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1.100.000,00</w:t>
            </w:r>
          </w:p>
        </w:tc>
      </w:tr>
      <w:tr w:rsidR="00B75871" w:rsidRPr="005767EF" w14:paraId="037FE984"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7DC6E607" w14:textId="77777777" w:rsidR="00B75871" w:rsidRPr="005767EF" w:rsidRDefault="00B75871" w:rsidP="00155069">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4.</w:t>
            </w:r>
          </w:p>
        </w:tc>
        <w:tc>
          <w:tcPr>
            <w:tcW w:w="3828" w:type="dxa"/>
            <w:tcBorders>
              <w:top w:val="single" w:sz="4" w:space="0" w:color="auto"/>
              <w:left w:val="nil"/>
              <w:bottom w:val="single" w:sz="4" w:space="0" w:color="auto"/>
              <w:right w:val="single" w:sz="4" w:space="0" w:color="auto"/>
            </w:tcBorders>
            <w:shd w:val="clear" w:color="000000" w:fill="FFFFFF"/>
          </w:tcPr>
          <w:p w14:paraId="52738C0F" w14:textId="7469FE1A" w:rsidR="00B75871" w:rsidRPr="005767EF" w:rsidRDefault="009124BC" w:rsidP="00D368D4">
            <w:pPr>
              <w:jc w:val="left"/>
              <w:rPr>
                <w:rFonts w:asciiTheme="minorHAnsi" w:hAnsiTheme="minorHAnsi"/>
                <w:sz w:val="20"/>
                <w:szCs w:val="20"/>
                <w:lang w:val="sr-Cyrl-BA" w:eastAsia="sr-Latn-RS"/>
              </w:rPr>
            </w:pPr>
            <w:r w:rsidRPr="005767EF">
              <w:rPr>
                <w:rFonts w:asciiTheme="minorHAnsi" w:hAnsiTheme="minorHAnsi"/>
                <w:sz w:val="20"/>
                <w:szCs w:val="20"/>
                <w:lang w:eastAsia="sr-Latn-RS"/>
              </w:rPr>
              <w:t>OC Zahrina A.D. Palata</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35D0FC7B" w14:textId="77777777" w:rsidR="00B75871" w:rsidRPr="005767EF" w:rsidRDefault="00B75871" w:rsidP="00AD5361">
            <w:pPr>
              <w:ind w:left="-249" w:right="33"/>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vAlign w:val="center"/>
          </w:tcPr>
          <w:p w14:paraId="2D72DD24" w14:textId="77777777" w:rsidR="00B75871" w:rsidRPr="005767EF" w:rsidRDefault="00B75871" w:rsidP="00847B43">
            <w:pPr>
              <w:ind w:left="-249" w:right="33"/>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15.000.000,00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A9A7B7B" w14:textId="77777777" w:rsidR="00B75871" w:rsidRPr="005767EF" w:rsidRDefault="00B75871" w:rsidP="0056585F">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1.500.000,00</w:t>
            </w:r>
          </w:p>
        </w:tc>
      </w:tr>
      <w:tr w:rsidR="00B75871" w:rsidRPr="005767EF" w14:paraId="74FBA48D" w14:textId="77777777" w:rsidTr="00AD5361">
        <w:trPr>
          <w:trHeight w:val="219"/>
        </w:trPr>
        <w:tc>
          <w:tcPr>
            <w:tcW w:w="450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5D2E1989" w14:textId="2143FB68" w:rsidR="00B75871" w:rsidRPr="005767EF" w:rsidRDefault="009124BC" w:rsidP="00AD5361">
            <w:pPr>
              <w:jc w:val="left"/>
              <w:rPr>
                <w:rFonts w:asciiTheme="minorHAnsi" w:hAnsiTheme="minorHAnsi"/>
                <w:b/>
                <w:color w:val="auto"/>
                <w:sz w:val="20"/>
                <w:szCs w:val="20"/>
                <w:lang w:val="sr-Cyrl-BA" w:eastAsia="sr-Latn-RS"/>
              </w:rPr>
            </w:pPr>
            <w:r w:rsidRPr="005767EF">
              <w:rPr>
                <w:rFonts w:asciiTheme="minorHAnsi" w:hAnsiTheme="minorHAnsi"/>
                <w:b/>
                <w:bCs/>
                <w:sz w:val="20"/>
                <w:szCs w:val="20"/>
                <w:lang w:eastAsia="sr-Latn-RS"/>
              </w:rPr>
              <w:t xml:space="preserve">UKUPNO: Garantni linija  za </w:t>
            </w:r>
            <w:r w:rsidRPr="005767EF">
              <w:rPr>
                <w:rFonts w:asciiTheme="minorHAnsi" w:hAnsiTheme="minorHAnsi"/>
                <w:b/>
                <w:color w:val="auto"/>
                <w:sz w:val="20"/>
                <w:szCs w:val="20"/>
                <w:lang w:eastAsia="sr-Latn-RS"/>
              </w:rPr>
              <w:t xml:space="preserve"> kredite iz sredstava IRB-a                                                                                       </w:t>
            </w:r>
          </w:p>
        </w:tc>
        <w:tc>
          <w:tcPr>
            <w:tcW w:w="12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967988" w14:textId="77777777" w:rsidR="00B75871" w:rsidRPr="005767EF" w:rsidRDefault="00AD5361" w:rsidP="00AD5361">
            <w:pPr>
              <w:ind w:left="-249"/>
              <w:jc w:val="right"/>
              <w:rPr>
                <w:rFonts w:asciiTheme="minorHAnsi" w:hAnsiTheme="minorHAnsi"/>
                <w:b/>
                <w:color w:val="auto"/>
                <w:sz w:val="20"/>
                <w:szCs w:val="20"/>
                <w:lang w:val="sr-Cyrl-BA" w:eastAsia="sr-Latn-RS"/>
              </w:rPr>
            </w:pPr>
            <w:r>
              <w:rPr>
                <w:rFonts w:asciiTheme="minorHAnsi" w:hAnsiTheme="minorHAnsi"/>
                <w:b/>
                <w:color w:val="auto"/>
                <w:sz w:val="20"/>
                <w:szCs w:val="20"/>
                <w:lang w:eastAsia="sr-Latn-RS"/>
              </w:rPr>
              <w:t>3</w:t>
            </w:r>
          </w:p>
        </w:tc>
        <w:tc>
          <w:tcPr>
            <w:tcW w:w="15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C12B4D" w14:textId="77777777" w:rsidR="00B75871" w:rsidRPr="005767EF" w:rsidRDefault="00B75871" w:rsidP="00AD5361">
            <w:pPr>
              <w:ind w:left="-249"/>
              <w:jc w:val="right"/>
              <w:rPr>
                <w:rFonts w:asciiTheme="minorHAnsi" w:hAnsiTheme="minorHAnsi"/>
                <w:b/>
                <w:color w:val="auto"/>
                <w:sz w:val="20"/>
                <w:szCs w:val="20"/>
                <w:lang w:val="sr-Cyrl-BA" w:eastAsia="sr-Latn-RS"/>
              </w:rPr>
            </w:pPr>
            <w:r w:rsidRPr="005767EF">
              <w:rPr>
                <w:rFonts w:asciiTheme="minorHAnsi" w:hAnsiTheme="minorHAnsi"/>
                <w:b/>
                <w:color w:val="auto"/>
                <w:sz w:val="20"/>
                <w:szCs w:val="20"/>
                <w:lang w:eastAsia="sr-Latn-RS"/>
              </w:rPr>
              <w:t>18.700.000,00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A6FB18" w14:textId="77777777" w:rsidR="00B75871" w:rsidRPr="005767EF" w:rsidRDefault="00B75871" w:rsidP="00AD5361">
            <w:pPr>
              <w:jc w:val="right"/>
              <w:rPr>
                <w:rFonts w:asciiTheme="minorHAnsi" w:hAnsiTheme="minorHAnsi"/>
                <w:color w:val="auto"/>
                <w:sz w:val="20"/>
                <w:szCs w:val="20"/>
                <w:lang w:val="sr-Cyrl-BA" w:eastAsia="sr-Latn-RS"/>
              </w:rPr>
            </w:pPr>
            <w:r w:rsidRPr="005767EF">
              <w:rPr>
                <w:rFonts w:asciiTheme="minorHAnsi" w:hAnsiTheme="minorHAnsi"/>
                <w:b/>
                <w:color w:val="auto"/>
                <w:sz w:val="20"/>
                <w:szCs w:val="20"/>
                <w:lang w:eastAsia="sr-Latn-RS"/>
              </w:rPr>
              <w:t>2.849.900,00</w:t>
            </w:r>
          </w:p>
        </w:tc>
      </w:tr>
      <w:tr w:rsidR="00B75871" w:rsidRPr="005767EF" w14:paraId="3AC10455" w14:textId="77777777" w:rsidTr="00AD5361">
        <w:trPr>
          <w:trHeight w:val="219"/>
        </w:trPr>
        <w:tc>
          <w:tcPr>
            <w:tcW w:w="675" w:type="dxa"/>
            <w:tcBorders>
              <w:top w:val="single" w:sz="4" w:space="0" w:color="auto"/>
              <w:left w:val="single" w:sz="4" w:space="0" w:color="auto"/>
              <w:bottom w:val="single" w:sz="4" w:space="0" w:color="auto"/>
              <w:right w:val="single" w:sz="4" w:space="0" w:color="auto"/>
            </w:tcBorders>
            <w:shd w:val="clear" w:color="000000" w:fill="FFFFFF"/>
          </w:tcPr>
          <w:p w14:paraId="74E4B772"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5.</w:t>
            </w:r>
          </w:p>
        </w:tc>
        <w:tc>
          <w:tcPr>
            <w:tcW w:w="3828" w:type="dxa"/>
            <w:tcBorders>
              <w:top w:val="single" w:sz="4" w:space="0" w:color="auto"/>
              <w:left w:val="single" w:sz="4" w:space="0" w:color="auto"/>
              <w:bottom w:val="single" w:sz="4" w:space="0" w:color="auto"/>
              <w:right w:val="single" w:sz="4" w:space="0" w:color="auto"/>
            </w:tcBorders>
            <w:shd w:val="clear" w:color="000000" w:fill="FFFFFF"/>
          </w:tcPr>
          <w:p w14:paraId="055E84EE" w14:textId="57C3FB2C" w:rsidR="00B75871" w:rsidRPr="005767EF" w:rsidRDefault="009124BC" w:rsidP="006B0198">
            <w:pPr>
              <w:jc w:val="left"/>
              <w:rPr>
                <w:rFonts w:asciiTheme="minorHAnsi" w:hAnsiTheme="minorHAnsi"/>
                <w:sz w:val="20"/>
                <w:szCs w:val="20"/>
                <w:lang w:val="sr-Cyrl-BA" w:eastAsia="sr-Latn-RS"/>
              </w:rPr>
            </w:pPr>
            <w:r w:rsidRPr="005767EF">
              <w:rPr>
                <w:rFonts w:asciiTheme="minorHAnsi" w:hAnsiTheme="minorHAnsi"/>
                <w:sz w:val="20"/>
                <w:szCs w:val="20"/>
                <w:lang w:eastAsia="sr-Latn-RS"/>
              </w:rPr>
              <w:t>ANDRIĆ - FARM d.o.o. The Pelagićevo</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161E6353"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26D517DC"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3.800.000,00</w:t>
            </w:r>
          </w:p>
        </w:tc>
        <w:tc>
          <w:tcPr>
            <w:tcW w:w="1417" w:type="dxa"/>
            <w:tcBorders>
              <w:top w:val="nil"/>
              <w:left w:val="nil"/>
              <w:bottom w:val="single" w:sz="4" w:space="0" w:color="auto"/>
              <w:right w:val="single" w:sz="4" w:space="0" w:color="auto"/>
            </w:tcBorders>
            <w:shd w:val="clear" w:color="000000" w:fill="FFFFFF"/>
          </w:tcPr>
          <w:p w14:paraId="580108F2"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1.500.000,00</w:t>
            </w:r>
          </w:p>
        </w:tc>
      </w:tr>
      <w:tr w:rsidR="00B75871" w:rsidRPr="005767EF" w14:paraId="6414253B" w14:textId="77777777" w:rsidTr="00AD5361">
        <w:trPr>
          <w:trHeight w:val="219"/>
        </w:trPr>
        <w:tc>
          <w:tcPr>
            <w:tcW w:w="675" w:type="dxa"/>
            <w:tcBorders>
              <w:top w:val="nil"/>
              <w:left w:val="single" w:sz="4" w:space="0" w:color="auto"/>
              <w:bottom w:val="single" w:sz="4" w:space="0" w:color="auto"/>
              <w:right w:val="single" w:sz="4" w:space="0" w:color="auto"/>
            </w:tcBorders>
            <w:shd w:val="clear" w:color="000000" w:fill="FFFFFF"/>
          </w:tcPr>
          <w:p w14:paraId="19CFF13F"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6.</w:t>
            </w:r>
          </w:p>
        </w:tc>
        <w:tc>
          <w:tcPr>
            <w:tcW w:w="3828" w:type="dxa"/>
            <w:tcBorders>
              <w:top w:val="single" w:sz="4" w:space="0" w:color="auto"/>
              <w:left w:val="nil"/>
              <w:bottom w:val="single" w:sz="4" w:space="0" w:color="auto"/>
              <w:right w:val="single" w:sz="4" w:space="0" w:color="auto"/>
            </w:tcBorders>
            <w:shd w:val="clear" w:color="000000" w:fill="FFFFFF"/>
          </w:tcPr>
          <w:p w14:paraId="5966B27C" w14:textId="77777777" w:rsidR="00B75871" w:rsidRPr="005767EF" w:rsidRDefault="00B75871" w:rsidP="006B0198">
            <w:pPr>
              <w:jc w:val="left"/>
              <w:rPr>
                <w:rFonts w:asciiTheme="minorHAnsi" w:hAnsiTheme="minorHAnsi"/>
                <w:sz w:val="20"/>
                <w:szCs w:val="20"/>
                <w:lang w:val="sr-Cyrl-BA" w:eastAsia="sr-Latn-RS"/>
              </w:rPr>
            </w:pPr>
            <w:r w:rsidRPr="005767EF">
              <w:rPr>
                <w:rFonts w:asciiTheme="minorHAnsi" w:hAnsiTheme="minorHAnsi"/>
                <w:sz w:val="20"/>
                <w:szCs w:val="20"/>
                <w:lang w:eastAsia="sr-Latn-RS"/>
              </w:rPr>
              <w:t>Samit energetike SET d.o.o. Trebinje</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3DA2C84"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nil"/>
              <w:left w:val="single" w:sz="4" w:space="0" w:color="auto"/>
              <w:bottom w:val="single" w:sz="4" w:space="0" w:color="auto"/>
              <w:right w:val="single" w:sz="4" w:space="0" w:color="auto"/>
            </w:tcBorders>
            <w:shd w:val="clear" w:color="000000" w:fill="FFFFFF"/>
          </w:tcPr>
          <w:p w14:paraId="73EAAC40"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2.500.000,00</w:t>
            </w:r>
          </w:p>
        </w:tc>
        <w:tc>
          <w:tcPr>
            <w:tcW w:w="1417" w:type="dxa"/>
            <w:tcBorders>
              <w:top w:val="nil"/>
              <w:left w:val="nil"/>
              <w:bottom w:val="single" w:sz="4" w:space="0" w:color="auto"/>
              <w:right w:val="single" w:sz="4" w:space="0" w:color="auto"/>
            </w:tcBorders>
            <w:shd w:val="clear" w:color="000000" w:fill="FFFFFF"/>
          </w:tcPr>
          <w:p w14:paraId="0CDF0D76"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749.750,00</w:t>
            </w:r>
          </w:p>
        </w:tc>
      </w:tr>
      <w:tr w:rsidR="00B75871" w:rsidRPr="005767EF" w14:paraId="16B8986F" w14:textId="77777777" w:rsidTr="00AD5361">
        <w:trPr>
          <w:trHeight w:val="219"/>
        </w:trPr>
        <w:tc>
          <w:tcPr>
            <w:tcW w:w="675" w:type="dxa"/>
            <w:tcBorders>
              <w:top w:val="single" w:sz="4" w:space="0" w:color="auto"/>
              <w:left w:val="single" w:sz="4" w:space="0" w:color="auto"/>
              <w:bottom w:val="single" w:sz="4" w:space="0" w:color="auto"/>
              <w:right w:val="single" w:sz="4" w:space="0" w:color="auto"/>
            </w:tcBorders>
            <w:shd w:val="clear" w:color="000000" w:fill="FFFFFF"/>
          </w:tcPr>
          <w:p w14:paraId="73E53F91"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7.</w:t>
            </w:r>
          </w:p>
        </w:tc>
        <w:tc>
          <w:tcPr>
            <w:tcW w:w="3828" w:type="dxa"/>
            <w:tcBorders>
              <w:top w:val="single" w:sz="4" w:space="0" w:color="auto"/>
              <w:left w:val="single" w:sz="4" w:space="0" w:color="auto"/>
              <w:bottom w:val="single" w:sz="4" w:space="0" w:color="auto"/>
              <w:right w:val="single" w:sz="4" w:space="0" w:color="auto"/>
            </w:tcBorders>
            <w:shd w:val="clear" w:color="000000" w:fill="FFFFFF"/>
          </w:tcPr>
          <w:p w14:paraId="3CC49689" w14:textId="77777777" w:rsidR="00B75871" w:rsidRPr="005767EF" w:rsidRDefault="00D368D4" w:rsidP="005D5536">
            <w:pPr>
              <w:jc w:val="left"/>
              <w:rPr>
                <w:rFonts w:asciiTheme="minorHAnsi" w:hAnsiTheme="minorHAnsi"/>
                <w:sz w:val="20"/>
                <w:szCs w:val="20"/>
                <w:lang w:val="sr-Cyrl-BA" w:eastAsia="sr-Latn-RS"/>
              </w:rPr>
            </w:pPr>
            <w:r>
              <w:rPr>
                <w:rFonts w:asciiTheme="minorHAnsi" w:hAnsiTheme="minorHAnsi"/>
                <w:sz w:val="20"/>
                <w:szCs w:val="20"/>
                <w:lang w:eastAsia="sr-Latn-RS"/>
              </w:rPr>
              <w:t>AUTO MALI d.o.o. Banja Luka</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5CCFDF28"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2DB0F61F"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110.000,00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8DECF03"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55.000,00</w:t>
            </w:r>
          </w:p>
        </w:tc>
      </w:tr>
      <w:tr w:rsidR="00B75871" w:rsidRPr="005767EF" w14:paraId="32BCDECF" w14:textId="77777777" w:rsidTr="00AD5361">
        <w:trPr>
          <w:trHeight w:val="219"/>
        </w:trPr>
        <w:tc>
          <w:tcPr>
            <w:tcW w:w="675" w:type="dxa"/>
            <w:tcBorders>
              <w:top w:val="single" w:sz="4" w:space="0" w:color="auto"/>
              <w:left w:val="single" w:sz="4" w:space="0" w:color="auto"/>
              <w:bottom w:val="single" w:sz="4" w:space="0" w:color="auto"/>
              <w:right w:val="single" w:sz="4" w:space="0" w:color="auto"/>
            </w:tcBorders>
            <w:shd w:val="clear" w:color="000000" w:fill="FFFFFF"/>
          </w:tcPr>
          <w:p w14:paraId="42BC94FE" w14:textId="77777777" w:rsidR="00B75871" w:rsidRPr="005767EF" w:rsidRDefault="00B75871" w:rsidP="006B0198">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8.</w:t>
            </w:r>
          </w:p>
        </w:tc>
        <w:tc>
          <w:tcPr>
            <w:tcW w:w="3828" w:type="dxa"/>
            <w:tcBorders>
              <w:top w:val="single" w:sz="4" w:space="0" w:color="auto"/>
              <w:left w:val="single" w:sz="4" w:space="0" w:color="auto"/>
              <w:bottom w:val="single" w:sz="4" w:space="0" w:color="auto"/>
              <w:right w:val="single" w:sz="4" w:space="0" w:color="auto"/>
            </w:tcBorders>
            <w:shd w:val="clear" w:color="000000" w:fill="FFFFFF"/>
          </w:tcPr>
          <w:p w14:paraId="57ACB6BA" w14:textId="77777777" w:rsidR="00B75871" w:rsidRPr="005767EF" w:rsidRDefault="00B75871" w:rsidP="00D368D4">
            <w:pPr>
              <w:jc w:val="left"/>
              <w:rPr>
                <w:rFonts w:asciiTheme="minorHAnsi" w:hAnsiTheme="minorHAnsi"/>
                <w:sz w:val="20"/>
                <w:szCs w:val="20"/>
                <w:lang w:val="sr-Cyrl-BA" w:eastAsia="sr-Latn-RS"/>
              </w:rPr>
            </w:pPr>
            <w:r w:rsidRPr="005767EF">
              <w:rPr>
                <w:rFonts w:asciiTheme="minorHAnsi" w:hAnsiTheme="minorHAnsi"/>
                <w:sz w:val="20"/>
                <w:szCs w:val="20"/>
                <w:lang w:eastAsia="sr-Latn-RS"/>
              </w:rPr>
              <w:t>VODOVOD a.d. Kozarska Dubica</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17EAF156" w14:textId="77777777" w:rsidR="00B75871" w:rsidRPr="005767EF" w:rsidRDefault="00B75871" w:rsidP="00AD5361">
            <w:pPr>
              <w:ind w:left="-249"/>
              <w:jc w:val="right"/>
              <w:rPr>
                <w:rFonts w:asciiTheme="minorHAnsi" w:hAnsiTheme="minorHAnsi"/>
                <w:color w:val="auto"/>
                <w:sz w:val="20"/>
                <w:szCs w:val="20"/>
                <w:lang w:val="sr-Cyrl-BA" w:eastAsia="sr-Latn-RS"/>
              </w:rPr>
            </w:pPr>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2B393C12" w14:textId="77777777" w:rsidR="00B75871" w:rsidRPr="005767EF" w:rsidRDefault="00B75871" w:rsidP="00847B43">
            <w:pPr>
              <w:ind w:left="-249"/>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350.000,00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DC2517C" w14:textId="77777777" w:rsidR="00B75871" w:rsidRPr="005767EF" w:rsidRDefault="00B75871" w:rsidP="00010815">
            <w:pPr>
              <w:jc w:val="right"/>
              <w:rPr>
                <w:rFonts w:asciiTheme="minorHAnsi" w:hAnsiTheme="minorHAnsi"/>
                <w:color w:val="auto"/>
                <w:sz w:val="20"/>
                <w:szCs w:val="20"/>
                <w:lang w:val="sr-Cyrl-BA" w:eastAsia="sr-Latn-RS"/>
              </w:rPr>
            </w:pPr>
            <w:r w:rsidRPr="005767EF">
              <w:rPr>
                <w:rFonts w:asciiTheme="minorHAnsi" w:hAnsiTheme="minorHAnsi"/>
                <w:color w:val="auto"/>
                <w:sz w:val="20"/>
                <w:szCs w:val="20"/>
                <w:lang w:eastAsia="sr-Latn-RS"/>
              </w:rPr>
              <w:t>175.000,00</w:t>
            </w:r>
          </w:p>
        </w:tc>
      </w:tr>
      <w:tr w:rsidR="00B75871" w:rsidRPr="005767EF" w14:paraId="268C6B83" w14:textId="77777777" w:rsidTr="00AD5361">
        <w:trPr>
          <w:trHeight w:val="219"/>
        </w:trPr>
        <w:tc>
          <w:tcPr>
            <w:tcW w:w="450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12BC8019" w14:textId="77777777" w:rsidR="00B75871" w:rsidRPr="005767EF" w:rsidRDefault="00B75871" w:rsidP="006B0198">
            <w:pPr>
              <w:jc w:val="center"/>
              <w:rPr>
                <w:rFonts w:asciiTheme="minorHAnsi" w:hAnsiTheme="minorHAnsi"/>
                <w:b/>
                <w:bCs/>
                <w:sz w:val="20"/>
                <w:szCs w:val="20"/>
                <w:lang w:val="sr-Cyrl-RS" w:eastAsia="sr-Latn-RS"/>
              </w:rPr>
            </w:pPr>
            <w:r w:rsidRPr="005767EF">
              <w:rPr>
                <w:rFonts w:asciiTheme="minorHAnsi" w:hAnsiTheme="minorHAnsi"/>
                <w:b/>
                <w:bCs/>
                <w:sz w:val="20"/>
                <w:szCs w:val="20"/>
                <w:lang w:eastAsia="sr-Latn-RS"/>
              </w:rPr>
              <w:t xml:space="preserve">UKUPNO: Garantni red za preduzeća  </w:t>
            </w:r>
          </w:p>
        </w:tc>
        <w:tc>
          <w:tcPr>
            <w:tcW w:w="12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8AEAD7" w14:textId="77777777" w:rsidR="00B75871" w:rsidRPr="005767EF" w:rsidRDefault="00AD5361" w:rsidP="00AD5361">
            <w:pPr>
              <w:ind w:left="-249"/>
              <w:jc w:val="right"/>
              <w:rPr>
                <w:rFonts w:asciiTheme="minorHAnsi" w:hAnsiTheme="minorHAnsi"/>
                <w:b/>
                <w:sz w:val="20"/>
                <w:szCs w:val="20"/>
                <w:lang w:val="sr-Cyrl-BA" w:eastAsia="sr-Latn-RS"/>
              </w:rPr>
            </w:pPr>
            <w:r>
              <w:rPr>
                <w:rFonts w:asciiTheme="minorHAnsi" w:hAnsiTheme="minorHAnsi"/>
                <w:b/>
                <w:sz w:val="20"/>
                <w:szCs w:val="20"/>
                <w:lang w:eastAsia="sr-Latn-RS"/>
              </w:rPr>
              <w:t>4</w:t>
            </w:r>
          </w:p>
        </w:tc>
        <w:tc>
          <w:tcPr>
            <w:tcW w:w="15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06016F1" w14:textId="77777777" w:rsidR="00B75871" w:rsidRPr="005767EF" w:rsidRDefault="00B75871" w:rsidP="00847B43">
            <w:pPr>
              <w:ind w:left="-249"/>
              <w:jc w:val="right"/>
              <w:rPr>
                <w:rFonts w:asciiTheme="minorHAnsi" w:hAnsiTheme="minorHAnsi"/>
                <w:b/>
                <w:sz w:val="20"/>
                <w:szCs w:val="20"/>
                <w:lang w:val="sr-Cyrl-BA" w:eastAsia="sr-Latn-RS"/>
              </w:rPr>
            </w:pPr>
            <w:r w:rsidRPr="005767EF">
              <w:rPr>
                <w:rFonts w:asciiTheme="minorHAnsi" w:hAnsiTheme="minorHAnsi"/>
                <w:b/>
                <w:sz w:val="20"/>
                <w:szCs w:val="20"/>
                <w:lang w:eastAsia="sr-Latn-RS"/>
              </w:rPr>
              <w:t>6.760.000,00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15CF76A" w14:textId="77777777" w:rsidR="00B75871" w:rsidRPr="005767EF" w:rsidRDefault="00B75871" w:rsidP="00593423">
            <w:pPr>
              <w:jc w:val="right"/>
              <w:rPr>
                <w:rFonts w:asciiTheme="minorHAnsi" w:hAnsiTheme="minorHAnsi"/>
                <w:b/>
                <w:sz w:val="20"/>
                <w:szCs w:val="20"/>
                <w:lang w:val="sr-Cyrl-BA" w:eastAsia="sr-Latn-RS"/>
              </w:rPr>
            </w:pPr>
            <w:r w:rsidRPr="005767EF">
              <w:rPr>
                <w:rFonts w:asciiTheme="minorHAnsi" w:hAnsiTheme="minorHAnsi"/>
                <w:b/>
                <w:sz w:val="20"/>
                <w:szCs w:val="20"/>
                <w:lang w:eastAsia="sr-Latn-RS"/>
              </w:rPr>
              <w:t>2.479.750,00</w:t>
            </w:r>
          </w:p>
        </w:tc>
      </w:tr>
      <w:tr w:rsidR="00B75871" w:rsidRPr="005767EF" w14:paraId="2BB2ED13" w14:textId="77777777" w:rsidTr="00AD5361">
        <w:trPr>
          <w:trHeight w:val="443"/>
        </w:trPr>
        <w:tc>
          <w:tcPr>
            <w:tcW w:w="4503"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405376F" w14:textId="29D2B591" w:rsidR="00B75871" w:rsidRPr="005767EF" w:rsidRDefault="00B75871" w:rsidP="000F6275">
            <w:pPr>
              <w:jc w:val="left"/>
              <w:rPr>
                <w:rFonts w:asciiTheme="minorHAnsi" w:hAnsiTheme="minorHAnsi"/>
                <w:sz w:val="20"/>
                <w:szCs w:val="20"/>
                <w:lang w:val="sr-Cyrl-RS" w:eastAsia="sr-Latn-RS"/>
              </w:rPr>
            </w:pPr>
            <w:r w:rsidRPr="005767EF">
              <w:rPr>
                <w:rFonts w:asciiTheme="minorHAnsi" w:hAnsiTheme="minorHAnsi"/>
                <w:b/>
                <w:bCs/>
                <w:sz w:val="20"/>
                <w:szCs w:val="20"/>
                <w:lang w:eastAsia="sr-Latn-RS"/>
              </w:rPr>
              <w:t xml:space="preserve">                           </w:t>
            </w:r>
            <w:r w:rsidR="000F6275">
              <w:rPr>
                <w:rFonts w:asciiTheme="minorHAnsi" w:hAnsiTheme="minorHAnsi"/>
                <w:b/>
                <w:bCs/>
                <w:sz w:val="20"/>
                <w:szCs w:val="20"/>
                <w:lang w:eastAsia="sr-Latn-RS"/>
              </w:rPr>
              <w:t>UKUPNO</w:t>
            </w:r>
          </w:p>
        </w:tc>
        <w:tc>
          <w:tcPr>
            <w:tcW w:w="12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72C9C08" w14:textId="77777777" w:rsidR="00B75871" w:rsidRPr="005767EF" w:rsidRDefault="00AD5361" w:rsidP="00AD5361">
            <w:pPr>
              <w:ind w:left="-249"/>
              <w:jc w:val="right"/>
              <w:rPr>
                <w:rFonts w:asciiTheme="minorHAnsi" w:hAnsiTheme="minorHAnsi"/>
                <w:b/>
                <w:sz w:val="20"/>
                <w:szCs w:val="20"/>
                <w:lang w:val="sr-Cyrl-BA" w:eastAsia="sr-Latn-RS"/>
              </w:rPr>
            </w:pPr>
            <w:r>
              <w:rPr>
                <w:rFonts w:asciiTheme="minorHAnsi" w:hAnsiTheme="minorHAnsi"/>
                <w:b/>
                <w:sz w:val="20"/>
                <w:szCs w:val="20"/>
                <w:lang w:eastAsia="sr-Latn-RS"/>
              </w:rPr>
              <w:t>8</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56A9860" w14:textId="77777777" w:rsidR="00B75871" w:rsidRPr="005767EF" w:rsidRDefault="00B75871" w:rsidP="00F30F98">
            <w:pPr>
              <w:ind w:left="-249"/>
              <w:jc w:val="right"/>
              <w:rPr>
                <w:rFonts w:asciiTheme="minorHAnsi" w:hAnsiTheme="minorHAnsi"/>
                <w:b/>
                <w:sz w:val="20"/>
                <w:szCs w:val="20"/>
                <w:lang w:val="sr-Cyrl-BA" w:eastAsia="sr-Latn-RS"/>
              </w:rPr>
            </w:pPr>
            <w:r w:rsidRPr="005767EF">
              <w:rPr>
                <w:rFonts w:asciiTheme="minorHAnsi" w:hAnsiTheme="minorHAnsi"/>
                <w:b/>
                <w:sz w:val="20"/>
                <w:szCs w:val="20"/>
                <w:lang w:eastAsia="sr-Latn-RS"/>
              </w:rPr>
              <w:t>25.760.000,00</w:t>
            </w:r>
          </w:p>
        </w:tc>
        <w:tc>
          <w:tcPr>
            <w:tcW w:w="141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56480ED" w14:textId="77777777" w:rsidR="00B75871" w:rsidRPr="005767EF" w:rsidRDefault="00B75871" w:rsidP="00F30F98">
            <w:pPr>
              <w:jc w:val="right"/>
              <w:rPr>
                <w:rFonts w:asciiTheme="minorHAnsi" w:hAnsiTheme="minorHAnsi"/>
                <w:b/>
                <w:sz w:val="20"/>
                <w:szCs w:val="20"/>
                <w:lang w:val="sr-Cyrl-BA" w:eastAsia="sr-Latn-RS"/>
              </w:rPr>
            </w:pPr>
            <w:r w:rsidRPr="005767EF">
              <w:rPr>
                <w:rFonts w:asciiTheme="minorHAnsi" w:hAnsiTheme="minorHAnsi"/>
                <w:b/>
                <w:sz w:val="20"/>
                <w:szCs w:val="20"/>
                <w:lang w:eastAsia="sr-Latn-RS"/>
              </w:rPr>
              <w:t>5.470.260,00</w:t>
            </w:r>
          </w:p>
        </w:tc>
      </w:tr>
      <w:bookmarkEnd w:id="6"/>
    </w:tbl>
    <w:p w14:paraId="0A3DB7D0"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7CC16C18" w14:textId="77777777" w:rsidR="00AD5361" w:rsidRPr="00AD536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rPr>
        <w:t>Garantni fond Republike Srpske je u 2023. godini izdao 8 pojedinačnih garancija u iznosu od 5.470.260,00 KM, čime je podržano 25.760.000,00 KM plasmana finansijskih posrednika. Prosječna stopa garantovanog iznosa kredita tokom 2023. godine je iznosila 21,23%.</w:t>
      </w:r>
    </w:p>
    <w:p w14:paraId="6F8ABC6F" w14:textId="77777777" w:rsidR="00E72BA2" w:rsidRDefault="00E72BA2" w:rsidP="00AD5361">
      <w:pPr>
        <w:tabs>
          <w:tab w:val="left" w:pos="7381"/>
        </w:tabs>
        <w:autoSpaceDE w:val="0"/>
        <w:autoSpaceDN w:val="0"/>
        <w:adjustRightInd w:val="0"/>
        <w:rPr>
          <w:rFonts w:asciiTheme="minorHAnsi" w:hAnsiTheme="minorHAnsi"/>
          <w:sz w:val="20"/>
          <w:szCs w:val="20"/>
          <w:lang w:val="sr-Latn-BA"/>
        </w:rPr>
      </w:pPr>
    </w:p>
    <w:p w14:paraId="38DD5073" w14:textId="0A4E0E64" w:rsidR="00AD5361" w:rsidRPr="00AD536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rPr>
        <w:t>U okviru garantne linije za poljoprivredu, izdana je jedna garancija u iznosu od 140.610,00 KM. Četiri garancije u iznosu od 2.479.750,00 KM su izdane u okviru garantne linije za privredna društva, dok su preko garantne linije za kredite iz sredstava Investiciono-razvojne banke Republike Srpske a.d. Banja Luka izdane 3 garancije u iznosu od 2.849.900,00 KM. Dvije od navedenih garancija iz ove linije – za klijente OC Jahorina a.d. Pale i CASTELLINA SRPSKA d.o.o. Modriča su plasirane direktno od Investiciono-razvojne banke u vidu pozajmica, dok je garancija za klijenta Pajo d.o.o. Sokolac plasirana od strane MF banke a.d. Banja Luka, iz sredstava IRB-a.</w:t>
      </w:r>
    </w:p>
    <w:p w14:paraId="1D642E89" w14:textId="77777777" w:rsidR="00AD5361" w:rsidRPr="00AD5361" w:rsidRDefault="00AD5361" w:rsidP="00AD5361">
      <w:pPr>
        <w:tabs>
          <w:tab w:val="left" w:pos="7381"/>
        </w:tabs>
        <w:autoSpaceDE w:val="0"/>
        <w:autoSpaceDN w:val="0"/>
        <w:adjustRightInd w:val="0"/>
        <w:rPr>
          <w:rFonts w:asciiTheme="minorHAnsi" w:hAnsiTheme="minorHAnsi"/>
          <w:sz w:val="20"/>
          <w:szCs w:val="20"/>
          <w:lang w:val="sr-Cyrl-RS"/>
        </w:rPr>
      </w:pPr>
    </w:p>
    <w:p w14:paraId="275A00AF" w14:textId="77777777" w:rsidR="0024593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rPr>
        <w:t>Pored novih garancija koje su izdane u 2023. godini, Garantni fond je tokom godine izvršio i produženje 5 garancija koje su izdane tokom prethodnih godina u iznosu od 1.809.455,28 KM, a kojima je tokom 2023. godine isticao period važenja. Produženje je izvršeno po zahtjevu klijenata uz standardnu proceduru analize i donošenja odluke o izmjeni, odnosno produženju roka važenja garancija. Produžene su sledeće garancije: AGENT ENEX d.o.o, Verdi d.o.o, OMC d.o.o, BMb Delta d.o.o. Gradiška i Sava Semberija a.d. Bijeljina. Navedenim garancijama je Garantni fond podržao plasman kreditnih sredstava u iznosu od 4.046.027,43 KM.</w:t>
      </w:r>
    </w:p>
    <w:p w14:paraId="42D8F4EB"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1838AFD1"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r w:rsidRPr="00AD5361">
        <w:rPr>
          <w:rFonts w:asciiTheme="minorHAnsi" w:hAnsiTheme="minorHAnsi"/>
          <w:sz w:val="20"/>
          <w:szCs w:val="20"/>
        </w:rPr>
        <w:t>U skladu sa članom 9, stav 1 Pravilnika o odobravanju garancija, odluke o odobravanju garancija su donesene od strane odgovarajućeg organa Fonda, u zavisnosti od iznosa garancije, odnosno ukupne izloženosti prema klijentu. Za garancije, odnosno ukupne izloženosti veće od 750.000,00 KM odluku donosi Vlada Republike Srpske na prijedlog Garantnog odbora Fonda. Od strane ovog organa su tokom 2023. godine donesene 4 odluke o odobravanju garancije i 2 odluke o izmjeni garancije. Garantni odbor Fonda je tokom 2023. godine donio 4 odluke o odobravanju garancije i 3 odluke o izmjeni, odnosno produženju roka važenja garancije.</w:t>
      </w:r>
    </w:p>
    <w:p w14:paraId="51BDB39A"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759FEA24"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12E6670F"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2C0C6738" w14:textId="77777777" w:rsidR="00AD5361" w:rsidRDefault="00AD5361" w:rsidP="00AD5361">
      <w:pPr>
        <w:tabs>
          <w:tab w:val="left" w:pos="7381"/>
        </w:tabs>
        <w:autoSpaceDE w:val="0"/>
        <w:autoSpaceDN w:val="0"/>
        <w:adjustRightInd w:val="0"/>
        <w:rPr>
          <w:rFonts w:asciiTheme="minorHAnsi" w:hAnsiTheme="minorHAnsi"/>
          <w:sz w:val="20"/>
          <w:szCs w:val="20"/>
          <w:lang w:val="sr-Latn-BA"/>
        </w:rPr>
      </w:pPr>
    </w:p>
    <w:p w14:paraId="38489EC8" w14:textId="77777777" w:rsidR="000F6275" w:rsidRPr="000F6275" w:rsidRDefault="000F6275" w:rsidP="00AD5361">
      <w:pPr>
        <w:tabs>
          <w:tab w:val="left" w:pos="7381"/>
        </w:tabs>
        <w:autoSpaceDE w:val="0"/>
        <w:autoSpaceDN w:val="0"/>
        <w:adjustRightInd w:val="0"/>
        <w:rPr>
          <w:rFonts w:asciiTheme="minorHAnsi" w:hAnsiTheme="minorHAnsi"/>
          <w:sz w:val="20"/>
          <w:szCs w:val="20"/>
          <w:lang w:val="sr-Latn-BA"/>
        </w:rPr>
      </w:pPr>
    </w:p>
    <w:p w14:paraId="72E08EBB" w14:textId="77777777" w:rsidR="00AD5361" w:rsidRDefault="00AD5361" w:rsidP="00AD5361">
      <w:pPr>
        <w:tabs>
          <w:tab w:val="left" w:pos="7381"/>
        </w:tabs>
        <w:autoSpaceDE w:val="0"/>
        <w:autoSpaceDN w:val="0"/>
        <w:adjustRightInd w:val="0"/>
        <w:rPr>
          <w:rFonts w:asciiTheme="minorHAnsi" w:hAnsiTheme="minorHAnsi"/>
          <w:sz w:val="20"/>
          <w:szCs w:val="20"/>
          <w:lang w:val="sr-Cyrl-RS"/>
        </w:rPr>
      </w:pPr>
    </w:p>
    <w:p w14:paraId="2BD08F66" w14:textId="77777777" w:rsidR="00AD5361" w:rsidRPr="00245931" w:rsidRDefault="00AD5361" w:rsidP="00AD5361">
      <w:pPr>
        <w:tabs>
          <w:tab w:val="left" w:pos="7381"/>
        </w:tabs>
        <w:autoSpaceDE w:val="0"/>
        <w:autoSpaceDN w:val="0"/>
        <w:adjustRightInd w:val="0"/>
        <w:rPr>
          <w:rFonts w:asciiTheme="minorHAnsi" w:hAnsiTheme="minorHAnsi"/>
          <w:sz w:val="20"/>
          <w:szCs w:val="20"/>
          <w:lang w:val="sr-Cyrl-RS"/>
        </w:rPr>
      </w:pPr>
    </w:p>
    <w:tbl>
      <w:tblPr>
        <w:tblW w:w="8764" w:type="dxa"/>
        <w:tblInd w:w="108" w:type="dxa"/>
        <w:tblLook w:val="04A0" w:firstRow="1" w:lastRow="0" w:firstColumn="1" w:lastColumn="0" w:noHBand="0" w:noVBand="1"/>
      </w:tblPr>
      <w:tblGrid>
        <w:gridCol w:w="3711"/>
        <w:gridCol w:w="1511"/>
        <w:gridCol w:w="1830"/>
        <w:gridCol w:w="1712"/>
      </w:tblGrid>
      <w:tr w:rsidR="001538EF" w:rsidRPr="005767EF" w14:paraId="324289D0" w14:textId="77777777" w:rsidTr="001538EF">
        <w:trPr>
          <w:trHeight w:val="517"/>
        </w:trPr>
        <w:tc>
          <w:tcPr>
            <w:tcW w:w="8764" w:type="dxa"/>
            <w:gridSpan w:val="4"/>
            <w:vMerge w:val="restart"/>
            <w:tcBorders>
              <w:top w:val="nil"/>
              <w:left w:val="nil"/>
              <w:bottom w:val="nil"/>
              <w:right w:val="nil"/>
            </w:tcBorders>
            <w:shd w:val="clear" w:color="000000" w:fill="FFFFFF"/>
            <w:vAlign w:val="center"/>
            <w:hideMark/>
          </w:tcPr>
          <w:p w14:paraId="7B1A1272" w14:textId="77777777" w:rsidR="001538EF" w:rsidRPr="00D25A1F" w:rsidRDefault="000D005A" w:rsidP="00DD2BAA">
            <w:pPr>
              <w:jc w:val="center"/>
              <w:rPr>
                <w:rFonts w:asciiTheme="minorHAnsi" w:hAnsiTheme="minorHAnsi"/>
                <w:b/>
                <w:bCs/>
                <w:sz w:val="20"/>
                <w:szCs w:val="20"/>
                <w:lang w:val="sr-Cyrl-RS" w:eastAsia="sr-Latn-RS"/>
              </w:rPr>
            </w:pPr>
            <w:r w:rsidRPr="005767EF">
              <w:rPr>
                <w:rFonts w:asciiTheme="minorHAnsi" w:hAnsiTheme="minorHAnsi"/>
                <w:b/>
                <w:bCs/>
                <w:color w:val="auto"/>
                <w:sz w:val="20"/>
                <w:szCs w:val="20"/>
                <w:lang w:eastAsia="sr-Latn-RS"/>
              </w:rPr>
              <w:lastRenderedPageBreak/>
              <w:t>Pregled izdanih garancija po finansijskim posrednicima u periodu 01.01.2023 - 31.12.2023. godine</w:t>
            </w:r>
          </w:p>
        </w:tc>
      </w:tr>
      <w:tr w:rsidR="001538EF" w:rsidRPr="005767EF" w14:paraId="4ED327BF" w14:textId="77777777" w:rsidTr="001769FF">
        <w:trPr>
          <w:trHeight w:val="517"/>
        </w:trPr>
        <w:tc>
          <w:tcPr>
            <w:tcW w:w="8764" w:type="dxa"/>
            <w:gridSpan w:val="4"/>
            <w:vMerge/>
            <w:tcBorders>
              <w:top w:val="nil"/>
              <w:left w:val="nil"/>
              <w:bottom w:val="nil"/>
              <w:right w:val="nil"/>
            </w:tcBorders>
            <w:vAlign w:val="center"/>
            <w:hideMark/>
          </w:tcPr>
          <w:p w14:paraId="3DADC7B4" w14:textId="77777777" w:rsidR="001538EF" w:rsidRPr="005767EF" w:rsidRDefault="001538EF" w:rsidP="001538EF">
            <w:pPr>
              <w:rPr>
                <w:rFonts w:asciiTheme="minorHAnsi" w:hAnsiTheme="minorHAnsi"/>
                <w:b/>
                <w:bCs/>
                <w:sz w:val="20"/>
                <w:szCs w:val="20"/>
                <w:lang w:val="sr-Latn-RS" w:eastAsia="sr-Latn-RS"/>
              </w:rPr>
            </w:pPr>
          </w:p>
        </w:tc>
      </w:tr>
      <w:tr w:rsidR="001538EF" w:rsidRPr="005767EF" w14:paraId="00DC6051" w14:textId="77777777" w:rsidTr="000D005A">
        <w:trPr>
          <w:trHeight w:val="289"/>
        </w:trPr>
        <w:tc>
          <w:tcPr>
            <w:tcW w:w="8764" w:type="dxa"/>
            <w:gridSpan w:val="4"/>
            <w:tcBorders>
              <w:top w:val="nil"/>
              <w:left w:val="nil"/>
              <w:bottom w:val="nil"/>
              <w:right w:val="nil"/>
            </w:tcBorders>
            <w:shd w:val="clear" w:color="000000" w:fill="FFFFFF"/>
            <w:hideMark/>
          </w:tcPr>
          <w:p w14:paraId="15A89EAF" w14:textId="77777777" w:rsidR="001538EF" w:rsidRPr="005767EF" w:rsidRDefault="000D005A" w:rsidP="00245931">
            <w:pPr>
              <w:jc w:val="right"/>
              <w:rPr>
                <w:rFonts w:asciiTheme="minorHAnsi" w:hAnsiTheme="minorHAnsi"/>
                <w:b/>
                <w:bCs/>
                <w:sz w:val="20"/>
                <w:szCs w:val="20"/>
                <w:lang w:val="sr-Cyrl-RS" w:eastAsia="sr-Latn-RS"/>
              </w:rPr>
            </w:pPr>
            <w:r w:rsidRPr="005767EF">
              <w:rPr>
                <w:rFonts w:asciiTheme="minorHAnsi" w:hAnsiTheme="minorHAnsi"/>
                <w:b/>
                <w:bCs/>
                <w:sz w:val="20"/>
                <w:szCs w:val="20"/>
                <w:lang w:eastAsia="sr-Latn-RS"/>
              </w:rPr>
              <w:t>Tabela 2</w:t>
            </w:r>
          </w:p>
        </w:tc>
      </w:tr>
      <w:tr w:rsidR="001538EF" w:rsidRPr="005767EF" w14:paraId="641524A8" w14:textId="77777777" w:rsidTr="000D005A">
        <w:trPr>
          <w:trHeight w:val="627"/>
        </w:trPr>
        <w:tc>
          <w:tcPr>
            <w:tcW w:w="3711" w:type="dxa"/>
            <w:tcBorders>
              <w:top w:val="single" w:sz="4" w:space="0" w:color="auto"/>
              <w:left w:val="single" w:sz="4" w:space="0" w:color="auto"/>
              <w:bottom w:val="single" w:sz="4" w:space="0" w:color="auto"/>
              <w:right w:val="single" w:sz="4" w:space="0" w:color="000000"/>
            </w:tcBorders>
            <w:shd w:val="clear" w:color="auto" w:fill="8DB3E2" w:themeFill="text2" w:themeFillTint="66"/>
            <w:vAlign w:val="center"/>
            <w:hideMark/>
          </w:tcPr>
          <w:p w14:paraId="2167B482"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eastAsia="sr-Latn-RS"/>
              </w:rPr>
              <w:t>Finansijski posrednik</w:t>
            </w:r>
          </w:p>
        </w:tc>
        <w:tc>
          <w:tcPr>
            <w:tcW w:w="1511" w:type="dxa"/>
            <w:tcBorders>
              <w:top w:val="single" w:sz="4" w:space="0" w:color="auto"/>
              <w:left w:val="nil"/>
              <w:bottom w:val="single" w:sz="4" w:space="0" w:color="auto"/>
              <w:right w:val="single" w:sz="4" w:space="0" w:color="auto"/>
            </w:tcBorders>
            <w:shd w:val="clear" w:color="auto" w:fill="8DB3E2" w:themeFill="text2" w:themeFillTint="66"/>
            <w:vAlign w:val="center"/>
          </w:tcPr>
          <w:p w14:paraId="228491BB"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eastAsia="sr-Latn-RS"/>
              </w:rPr>
              <w:t>Broj garancija</w:t>
            </w:r>
          </w:p>
        </w:tc>
        <w:tc>
          <w:tcPr>
            <w:tcW w:w="1830" w:type="dxa"/>
            <w:tcBorders>
              <w:top w:val="single" w:sz="4" w:space="0" w:color="auto"/>
              <w:left w:val="nil"/>
              <w:bottom w:val="single" w:sz="4" w:space="0" w:color="auto"/>
              <w:right w:val="single" w:sz="4" w:space="0" w:color="auto"/>
            </w:tcBorders>
            <w:shd w:val="clear" w:color="auto" w:fill="8DB3E2" w:themeFill="text2" w:themeFillTint="66"/>
            <w:vAlign w:val="center"/>
          </w:tcPr>
          <w:p w14:paraId="52D7823F"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eastAsia="sr-Latn-RS"/>
              </w:rPr>
              <w:t>Iznos kredita</w:t>
            </w:r>
          </w:p>
        </w:tc>
        <w:tc>
          <w:tcPr>
            <w:tcW w:w="1712" w:type="dxa"/>
            <w:tcBorders>
              <w:top w:val="single" w:sz="4" w:space="0" w:color="auto"/>
              <w:left w:val="nil"/>
              <w:bottom w:val="single" w:sz="4" w:space="0" w:color="auto"/>
              <w:right w:val="single" w:sz="4" w:space="0" w:color="auto"/>
            </w:tcBorders>
            <w:shd w:val="clear" w:color="auto" w:fill="8DB3E2" w:themeFill="text2" w:themeFillTint="66"/>
            <w:vAlign w:val="center"/>
          </w:tcPr>
          <w:p w14:paraId="30AC7BC6" w14:textId="77777777" w:rsidR="001538EF" w:rsidRPr="005767EF" w:rsidRDefault="001538EF" w:rsidP="001538EF">
            <w:pPr>
              <w:jc w:val="center"/>
              <w:rPr>
                <w:rFonts w:asciiTheme="minorHAnsi" w:hAnsiTheme="minorHAnsi"/>
                <w:b/>
                <w:bCs/>
                <w:sz w:val="20"/>
                <w:szCs w:val="20"/>
                <w:lang w:val="sr-Cyrl-BA" w:eastAsia="sr-Latn-RS"/>
              </w:rPr>
            </w:pPr>
            <w:r w:rsidRPr="005767EF">
              <w:rPr>
                <w:rFonts w:asciiTheme="minorHAnsi" w:hAnsiTheme="minorHAnsi"/>
                <w:b/>
                <w:bCs/>
                <w:sz w:val="20"/>
                <w:szCs w:val="20"/>
                <w:lang w:eastAsia="sr-Latn-RS"/>
              </w:rPr>
              <w:t>Iznos garancije</w:t>
            </w:r>
          </w:p>
        </w:tc>
      </w:tr>
      <w:tr w:rsidR="001538EF" w:rsidRPr="005767EF" w14:paraId="2CC24A80"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A2C370C" w14:textId="77777777" w:rsidR="001538EF" w:rsidRPr="005767EF" w:rsidRDefault="00DB46A9" w:rsidP="001538EF">
            <w:pPr>
              <w:jc w:val="left"/>
              <w:rPr>
                <w:rFonts w:asciiTheme="minorHAnsi" w:hAnsiTheme="minorHAnsi"/>
                <w:caps/>
                <w:sz w:val="20"/>
                <w:szCs w:val="20"/>
                <w:lang w:val="sr-Latn-RS" w:eastAsia="sr-Latn-RS"/>
              </w:rPr>
            </w:pPr>
            <w:r w:rsidRPr="005767EF">
              <w:rPr>
                <w:rFonts w:asciiTheme="minorHAnsi" w:hAnsiTheme="minorHAnsi"/>
                <w:sz w:val="20"/>
                <w:szCs w:val="20"/>
                <w:lang w:eastAsia="sr-Latn-RS"/>
              </w:rPr>
              <w:t>Naša banka a.d. Banja Luka</w:t>
            </w:r>
          </w:p>
        </w:tc>
        <w:tc>
          <w:tcPr>
            <w:tcW w:w="1511" w:type="dxa"/>
            <w:tcBorders>
              <w:top w:val="nil"/>
              <w:left w:val="nil"/>
              <w:bottom w:val="single" w:sz="4" w:space="0" w:color="auto"/>
              <w:right w:val="single" w:sz="4" w:space="0" w:color="auto"/>
            </w:tcBorders>
            <w:shd w:val="clear" w:color="000000" w:fill="FFFFFF"/>
            <w:vAlign w:val="center"/>
            <w:hideMark/>
          </w:tcPr>
          <w:p w14:paraId="2D487E0F" w14:textId="77777777" w:rsidR="001538EF" w:rsidRPr="005767EF" w:rsidRDefault="001538EF" w:rsidP="001538EF">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w:t>
            </w:r>
          </w:p>
        </w:tc>
        <w:tc>
          <w:tcPr>
            <w:tcW w:w="1830" w:type="dxa"/>
            <w:tcBorders>
              <w:top w:val="nil"/>
              <w:left w:val="nil"/>
              <w:bottom w:val="single" w:sz="4" w:space="0" w:color="auto"/>
              <w:right w:val="single" w:sz="4" w:space="0" w:color="auto"/>
            </w:tcBorders>
            <w:shd w:val="clear" w:color="000000" w:fill="FFFFFF"/>
            <w:vAlign w:val="center"/>
            <w:hideMark/>
          </w:tcPr>
          <w:p w14:paraId="5118CFDA" w14:textId="77777777" w:rsidR="001538EF" w:rsidRPr="005767EF" w:rsidRDefault="00A408DF" w:rsidP="001538EF">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110.000,00</w:t>
            </w:r>
          </w:p>
        </w:tc>
        <w:tc>
          <w:tcPr>
            <w:tcW w:w="1712" w:type="dxa"/>
            <w:tcBorders>
              <w:top w:val="nil"/>
              <w:left w:val="nil"/>
              <w:bottom w:val="single" w:sz="4" w:space="0" w:color="auto"/>
              <w:right w:val="single" w:sz="4" w:space="0" w:color="auto"/>
            </w:tcBorders>
            <w:shd w:val="clear" w:color="000000" w:fill="FFFFFF"/>
            <w:vAlign w:val="center"/>
            <w:hideMark/>
          </w:tcPr>
          <w:p w14:paraId="3FEAC632" w14:textId="77777777" w:rsidR="001538EF" w:rsidRPr="005767EF" w:rsidRDefault="00A408DF" w:rsidP="001538EF">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55.000,00</w:t>
            </w:r>
          </w:p>
        </w:tc>
      </w:tr>
      <w:tr w:rsidR="001538EF" w:rsidRPr="005767EF" w14:paraId="46453CB1"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4B0DE47" w14:textId="77777777" w:rsidR="001538EF" w:rsidRPr="005767EF" w:rsidRDefault="00DB46A9" w:rsidP="001538EF">
            <w:pPr>
              <w:jc w:val="left"/>
              <w:rPr>
                <w:rFonts w:asciiTheme="minorHAnsi" w:hAnsiTheme="minorHAnsi"/>
                <w:caps/>
                <w:sz w:val="20"/>
                <w:szCs w:val="20"/>
                <w:lang w:val="sr-Latn-RS" w:eastAsia="sr-Latn-RS"/>
              </w:rPr>
            </w:pPr>
            <w:r w:rsidRPr="005767EF">
              <w:rPr>
                <w:rFonts w:asciiTheme="minorHAnsi" w:hAnsiTheme="minorHAnsi"/>
                <w:sz w:val="20"/>
                <w:szCs w:val="20"/>
                <w:lang w:eastAsia="sr-Latn-RS"/>
              </w:rPr>
              <w:t>Procredit bank d.d. Sarajevo</w:t>
            </w:r>
          </w:p>
        </w:tc>
        <w:tc>
          <w:tcPr>
            <w:tcW w:w="1511" w:type="dxa"/>
            <w:tcBorders>
              <w:top w:val="nil"/>
              <w:left w:val="nil"/>
              <w:bottom w:val="single" w:sz="4" w:space="0" w:color="auto"/>
              <w:right w:val="single" w:sz="4" w:space="0" w:color="auto"/>
            </w:tcBorders>
            <w:shd w:val="clear" w:color="000000" w:fill="FFFFFF"/>
            <w:vAlign w:val="center"/>
            <w:hideMark/>
          </w:tcPr>
          <w:p w14:paraId="004C121A" w14:textId="77777777" w:rsidR="001538EF" w:rsidRPr="005767EF" w:rsidRDefault="00612143" w:rsidP="001538EF">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1</w:t>
            </w:r>
          </w:p>
        </w:tc>
        <w:tc>
          <w:tcPr>
            <w:tcW w:w="1830" w:type="dxa"/>
            <w:tcBorders>
              <w:top w:val="nil"/>
              <w:left w:val="nil"/>
              <w:bottom w:val="single" w:sz="4" w:space="0" w:color="auto"/>
              <w:right w:val="single" w:sz="4" w:space="0" w:color="auto"/>
            </w:tcBorders>
            <w:shd w:val="clear" w:color="000000" w:fill="FFFFFF"/>
            <w:vAlign w:val="center"/>
            <w:hideMark/>
          </w:tcPr>
          <w:p w14:paraId="015F2DCA" w14:textId="77777777" w:rsidR="001538EF" w:rsidRPr="005767EF" w:rsidRDefault="00194C22" w:rsidP="001538EF">
            <w:pPr>
              <w:jc w:val="right"/>
              <w:rPr>
                <w:rFonts w:asciiTheme="minorHAnsi" w:hAnsiTheme="minorHAnsi"/>
                <w:sz w:val="20"/>
                <w:szCs w:val="20"/>
                <w:lang w:val="sr-Cyrl-BA" w:eastAsia="sr-Latn-RS"/>
              </w:rPr>
            </w:pPr>
            <w:r w:rsidRPr="005767EF">
              <w:rPr>
                <w:rFonts w:asciiTheme="minorHAnsi" w:hAnsiTheme="minorHAnsi"/>
                <w:sz w:val="20"/>
                <w:szCs w:val="20"/>
                <w:lang w:eastAsia="sr-Latn-RS"/>
              </w:rPr>
              <w:t>3.800.000,00</w:t>
            </w:r>
          </w:p>
        </w:tc>
        <w:tc>
          <w:tcPr>
            <w:tcW w:w="1712" w:type="dxa"/>
            <w:tcBorders>
              <w:top w:val="nil"/>
              <w:left w:val="nil"/>
              <w:bottom w:val="single" w:sz="4" w:space="0" w:color="auto"/>
              <w:right w:val="single" w:sz="4" w:space="0" w:color="auto"/>
            </w:tcBorders>
            <w:shd w:val="clear" w:color="000000" w:fill="FFFFFF"/>
            <w:vAlign w:val="center"/>
            <w:hideMark/>
          </w:tcPr>
          <w:p w14:paraId="3B6C56A8" w14:textId="77777777" w:rsidR="001538EF" w:rsidRPr="005767EF" w:rsidRDefault="002908EC" w:rsidP="00194C22">
            <w:pPr>
              <w:jc w:val="right"/>
              <w:rPr>
                <w:rFonts w:asciiTheme="minorHAnsi" w:hAnsiTheme="minorHAnsi"/>
                <w:sz w:val="20"/>
                <w:szCs w:val="20"/>
                <w:lang w:val="sr-Cyrl-BA" w:eastAsia="sr-Latn-RS"/>
              </w:rPr>
            </w:pPr>
            <w:r w:rsidRPr="005767EF">
              <w:rPr>
                <w:rFonts w:asciiTheme="minorHAnsi" w:hAnsiTheme="minorHAnsi"/>
                <w:sz w:val="20"/>
                <w:szCs w:val="20"/>
                <w:lang w:eastAsia="sr-Latn-RS"/>
              </w:rPr>
              <w:t>1.500.000,00</w:t>
            </w:r>
          </w:p>
        </w:tc>
      </w:tr>
      <w:tr w:rsidR="001538EF" w:rsidRPr="005767EF" w14:paraId="308BE7CA"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936204D" w14:textId="77777777" w:rsidR="001538EF" w:rsidRPr="005767EF" w:rsidRDefault="00DB46A9" w:rsidP="001538EF">
            <w:pPr>
              <w:jc w:val="left"/>
              <w:rPr>
                <w:rFonts w:asciiTheme="minorHAnsi" w:hAnsiTheme="minorHAnsi"/>
                <w:caps/>
                <w:sz w:val="20"/>
                <w:szCs w:val="20"/>
                <w:lang w:val="sr-Latn-RS" w:eastAsia="sr-Latn-RS"/>
              </w:rPr>
            </w:pPr>
            <w:r>
              <w:rPr>
                <w:rFonts w:asciiTheme="minorHAnsi" w:hAnsiTheme="minorHAnsi"/>
                <w:sz w:val="20"/>
                <w:szCs w:val="20"/>
                <w:lang w:eastAsia="sr-Latn-RS"/>
              </w:rPr>
              <w:t>MF Banka a.d. Banja Luka</w:t>
            </w:r>
          </w:p>
        </w:tc>
        <w:tc>
          <w:tcPr>
            <w:tcW w:w="1511" w:type="dxa"/>
            <w:tcBorders>
              <w:top w:val="nil"/>
              <w:left w:val="nil"/>
              <w:bottom w:val="single" w:sz="4" w:space="0" w:color="auto"/>
              <w:right w:val="single" w:sz="4" w:space="0" w:color="auto"/>
            </w:tcBorders>
            <w:shd w:val="clear" w:color="000000" w:fill="FFFFFF"/>
            <w:vAlign w:val="center"/>
            <w:hideMark/>
          </w:tcPr>
          <w:p w14:paraId="5C82072F" w14:textId="77777777" w:rsidR="001538EF" w:rsidRPr="005767EF" w:rsidRDefault="002908EC" w:rsidP="001538EF">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4</w:t>
            </w:r>
          </w:p>
        </w:tc>
        <w:tc>
          <w:tcPr>
            <w:tcW w:w="1830" w:type="dxa"/>
            <w:tcBorders>
              <w:top w:val="nil"/>
              <w:left w:val="nil"/>
              <w:bottom w:val="single" w:sz="4" w:space="0" w:color="auto"/>
              <w:right w:val="single" w:sz="4" w:space="0" w:color="auto"/>
            </w:tcBorders>
            <w:shd w:val="clear" w:color="000000" w:fill="FFFFFF"/>
            <w:vAlign w:val="center"/>
            <w:hideMark/>
          </w:tcPr>
          <w:p w14:paraId="035A6E6B" w14:textId="77777777" w:rsidR="001538EF" w:rsidRPr="005767EF" w:rsidRDefault="002908EC" w:rsidP="001538EF">
            <w:pPr>
              <w:jc w:val="right"/>
              <w:rPr>
                <w:rFonts w:asciiTheme="minorHAnsi" w:hAnsiTheme="minorHAnsi"/>
                <w:sz w:val="20"/>
                <w:szCs w:val="20"/>
                <w:lang w:val="sr-Cyrl-BA" w:eastAsia="sr-Latn-RS"/>
              </w:rPr>
            </w:pPr>
            <w:r w:rsidRPr="005767EF">
              <w:rPr>
                <w:rFonts w:asciiTheme="minorHAnsi" w:hAnsiTheme="minorHAnsi"/>
                <w:sz w:val="20"/>
                <w:szCs w:val="20"/>
                <w:lang w:eastAsia="sr-Latn-RS"/>
              </w:rPr>
              <w:t>4.650.000,00</w:t>
            </w:r>
          </w:p>
        </w:tc>
        <w:tc>
          <w:tcPr>
            <w:tcW w:w="1712" w:type="dxa"/>
            <w:tcBorders>
              <w:top w:val="nil"/>
              <w:left w:val="nil"/>
              <w:bottom w:val="single" w:sz="4" w:space="0" w:color="auto"/>
              <w:right w:val="single" w:sz="4" w:space="0" w:color="auto"/>
            </w:tcBorders>
            <w:shd w:val="clear" w:color="000000" w:fill="FFFFFF"/>
            <w:vAlign w:val="center"/>
            <w:hideMark/>
          </w:tcPr>
          <w:p w14:paraId="3F4AB844" w14:textId="77777777" w:rsidR="001538EF" w:rsidRPr="005767EF" w:rsidRDefault="002908EC" w:rsidP="001538EF">
            <w:pPr>
              <w:jc w:val="right"/>
              <w:rPr>
                <w:rFonts w:asciiTheme="minorHAnsi" w:hAnsiTheme="minorHAnsi"/>
                <w:sz w:val="20"/>
                <w:szCs w:val="20"/>
                <w:lang w:val="sr-Cyrl-BA" w:eastAsia="sr-Latn-RS"/>
              </w:rPr>
            </w:pPr>
            <w:r w:rsidRPr="005767EF">
              <w:rPr>
                <w:rFonts w:asciiTheme="minorHAnsi" w:hAnsiTheme="minorHAnsi"/>
                <w:sz w:val="20"/>
                <w:szCs w:val="20"/>
                <w:lang w:eastAsia="sr-Latn-RS"/>
              </w:rPr>
              <w:t>1.315.260,00</w:t>
            </w:r>
          </w:p>
        </w:tc>
      </w:tr>
      <w:tr w:rsidR="001538EF" w:rsidRPr="005767EF" w14:paraId="1E1D8770" w14:textId="77777777" w:rsidTr="001538EF">
        <w:trPr>
          <w:trHeight w:val="501"/>
        </w:trPr>
        <w:tc>
          <w:tcPr>
            <w:tcW w:w="3711"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247F71F" w14:textId="77777777" w:rsidR="001538EF" w:rsidRPr="00DB46A9" w:rsidRDefault="00DB46A9" w:rsidP="00DB46A9">
            <w:pPr>
              <w:jc w:val="left"/>
              <w:rPr>
                <w:rFonts w:asciiTheme="minorHAnsi" w:hAnsiTheme="minorHAnsi"/>
                <w:caps/>
                <w:sz w:val="20"/>
                <w:szCs w:val="20"/>
                <w:lang w:val="sr-Cyrl-RS" w:eastAsia="sr-Latn-RS"/>
              </w:rPr>
            </w:pPr>
            <w:r w:rsidRPr="005767EF">
              <w:rPr>
                <w:rFonts w:asciiTheme="minorHAnsi" w:hAnsiTheme="minorHAnsi"/>
                <w:sz w:val="20"/>
                <w:szCs w:val="20"/>
                <w:lang w:eastAsia="sr-Latn-RS"/>
              </w:rPr>
              <w:t xml:space="preserve">Fond za razvoj i zapošljavanje Republike Srpske a.d. Banja Luka </w:t>
            </w:r>
          </w:p>
        </w:tc>
        <w:tc>
          <w:tcPr>
            <w:tcW w:w="1511" w:type="dxa"/>
            <w:tcBorders>
              <w:top w:val="nil"/>
              <w:left w:val="nil"/>
              <w:bottom w:val="single" w:sz="4" w:space="0" w:color="auto"/>
              <w:right w:val="single" w:sz="4" w:space="0" w:color="auto"/>
            </w:tcBorders>
            <w:shd w:val="clear" w:color="000000" w:fill="FFFFFF"/>
            <w:vAlign w:val="center"/>
            <w:hideMark/>
          </w:tcPr>
          <w:p w14:paraId="1DDFFF5C" w14:textId="77777777" w:rsidR="001538EF" w:rsidRPr="005767EF" w:rsidRDefault="00B86275" w:rsidP="001538EF">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2</w:t>
            </w:r>
          </w:p>
        </w:tc>
        <w:tc>
          <w:tcPr>
            <w:tcW w:w="1830" w:type="dxa"/>
            <w:tcBorders>
              <w:top w:val="nil"/>
              <w:left w:val="nil"/>
              <w:bottom w:val="single" w:sz="4" w:space="0" w:color="auto"/>
              <w:right w:val="single" w:sz="4" w:space="0" w:color="auto"/>
            </w:tcBorders>
            <w:shd w:val="clear" w:color="000000" w:fill="FFFFFF"/>
            <w:vAlign w:val="center"/>
            <w:hideMark/>
          </w:tcPr>
          <w:p w14:paraId="35542E83" w14:textId="77777777" w:rsidR="001538EF" w:rsidRPr="005767EF" w:rsidRDefault="000D005A" w:rsidP="001538EF">
            <w:pPr>
              <w:jc w:val="right"/>
              <w:rPr>
                <w:rFonts w:asciiTheme="minorHAnsi" w:hAnsiTheme="minorHAnsi"/>
                <w:sz w:val="20"/>
                <w:szCs w:val="20"/>
                <w:lang w:val="sr-Cyrl-BA" w:eastAsia="sr-Latn-RS"/>
              </w:rPr>
            </w:pPr>
            <w:r w:rsidRPr="005767EF">
              <w:rPr>
                <w:rFonts w:asciiTheme="minorHAnsi" w:hAnsiTheme="minorHAnsi"/>
                <w:sz w:val="20"/>
                <w:szCs w:val="20"/>
                <w:lang w:eastAsia="sr-Latn-RS"/>
              </w:rPr>
              <w:t>17.200.000,00</w:t>
            </w:r>
          </w:p>
        </w:tc>
        <w:tc>
          <w:tcPr>
            <w:tcW w:w="1712" w:type="dxa"/>
            <w:tcBorders>
              <w:top w:val="nil"/>
              <w:left w:val="nil"/>
              <w:bottom w:val="single" w:sz="4" w:space="0" w:color="auto"/>
              <w:right w:val="single" w:sz="4" w:space="0" w:color="auto"/>
            </w:tcBorders>
            <w:shd w:val="clear" w:color="000000" w:fill="FFFFFF"/>
            <w:vAlign w:val="center"/>
            <w:hideMark/>
          </w:tcPr>
          <w:p w14:paraId="79892A02" w14:textId="77777777" w:rsidR="001538EF" w:rsidRPr="005767EF" w:rsidRDefault="000D005A" w:rsidP="001538EF">
            <w:pPr>
              <w:jc w:val="right"/>
              <w:rPr>
                <w:rFonts w:asciiTheme="minorHAnsi" w:hAnsiTheme="minorHAnsi"/>
                <w:sz w:val="20"/>
                <w:szCs w:val="20"/>
                <w:lang w:val="sr-Cyrl-BA" w:eastAsia="sr-Latn-RS"/>
              </w:rPr>
            </w:pPr>
            <w:r w:rsidRPr="005767EF">
              <w:rPr>
                <w:rFonts w:asciiTheme="minorHAnsi" w:hAnsiTheme="minorHAnsi"/>
                <w:sz w:val="20"/>
                <w:szCs w:val="20"/>
                <w:lang w:eastAsia="sr-Latn-RS"/>
              </w:rPr>
              <w:t>2.600.000,00</w:t>
            </w:r>
          </w:p>
        </w:tc>
      </w:tr>
      <w:tr w:rsidR="001538EF" w:rsidRPr="005767EF" w14:paraId="22AF97D9" w14:textId="77777777" w:rsidTr="000D005A">
        <w:trPr>
          <w:trHeight w:val="501"/>
        </w:trPr>
        <w:tc>
          <w:tcPr>
            <w:tcW w:w="371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DE19F23" w14:textId="14F359AC" w:rsidR="001538EF" w:rsidRPr="005767EF" w:rsidRDefault="000F6275" w:rsidP="001538EF">
            <w:pPr>
              <w:jc w:val="left"/>
              <w:rPr>
                <w:rFonts w:asciiTheme="minorHAnsi" w:hAnsiTheme="minorHAnsi"/>
                <w:b/>
                <w:bCs/>
                <w:sz w:val="20"/>
                <w:szCs w:val="20"/>
                <w:lang w:val="sr-Latn-RS" w:eastAsia="sr-Latn-RS"/>
              </w:rPr>
            </w:pPr>
            <w:r>
              <w:rPr>
                <w:rFonts w:asciiTheme="minorHAnsi" w:hAnsiTheme="minorHAnsi"/>
                <w:b/>
                <w:bCs/>
                <w:sz w:val="20"/>
                <w:szCs w:val="20"/>
                <w:lang w:eastAsia="sr-Latn-RS"/>
              </w:rPr>
              <w:t>UKUPNO</w:t>
            </w:r>
          </w:p>
        </w:tc>
        <w:tc>
          <w:tcPr>
            <w:tcW w:w="1511" w:type="dxa"/>
            <w:tcBorders>
              <w:top w:val="nil"/>
              <w:left w:val="nil"/>
              <w:bottom w:val="single" w:sz="4" w:space="0" w:color="auto"/>
              <w:right w:val="single" w:sz="4" w:space="0" w:color="auto"/>
            </w:tcBorders>
            <w:shd w:val="clear" w:color="auto" w:fill="8DB3E2" w:themeFill="text2" w:themeFillTint="66"/>
            <w:vAlign w:val="center"/>
            <w:hideMark/>
          </w:tcPr>
          <w:p w14:paraId="03A2FE8D" w14:textId="77777777" w:rsidR="001538EF" w:rsidRPr="005767EF" w:rsidRDefault="00245931" w:rsidP="001538EF">
            <w:pPr>
              <w:jc w:val="center"/>
              <w:rPr>
                <w:rFonts w:asciiTheme="minorHAnsi" w:hAnsiTheme="minorHAnsi"/>
                <w:b/>
                <w:bCs/>
                <w:sz w:val="20"/>
                <w:szCs w:val="20"/>
                <w:lang w:val="sr-Cyrl-BA" w:eastAsia="sr-Latn-RS"/>
              </w:rPr>
            </w:pPr>
            <w:r>
              <w:rPr>
                <w:rFonts w:asciiTheme="minorHAnsi" w:hAnsiTheme="minorHAnsi"/>
                <w:b/>
                <w:bCs/>
                <w:sz w:val="20"/>
                <w:szCs w:val="20"/>
                <w:lang w:eastAsia="sr-Latn-RS"/>
              </w:rPr>
              <w:t>8</w:t>
            </w:r>
          </w:p>
        </w:tc>
        <w:tc>
          <w:tcPr>
            <w:tcW w:w="1830" w:type="dxa"/>
            <w:tcBorders>
              <w:top w:val="nil"/>
              <w:left w:val="nil"/>
              <w:bottom w:val="single" w:sz="4" w:space="0" w:color="auto"/>
              <w:right w:val="single" w:sz="4" w:space="0" w:color="auto"/>
            </w:tcBorders>
            <w:shd w:val="clear" w:color="auto" w:fill="8DB3E2" w:themeFill="text2" w:themeFillTint="66"/>
            <w:vAlign w:val="center"/>
            <w:hideMark/>
          </w:tcPr>
          <w:p w14:paraId="1F0C0C04" w14:textId="77777777" w:rsidR="001538EF" w:rsidRPr="005767EF" w:rsidRDefault="000D005A" w:rsidP="00245931">
            <w:pPr>
              <w:jc w:val="right"/>
              <w:rPr>
                <w:rFonts w:asciiTheme="minorHAnsi" w:hAnsiTheme="minorHAnsi"/>
                <w:b/>
                <w:bCs/>
                <w:sz w:val="20"/>
                <w:szCs w:val="20"/>
                <w:lang w:val="sr-Cyrl-BA" w:eastAsia="sr-Latn-RS"/>
              </w:rPr>
            </w:pPr>
            <w:r w:rsidRPr="005767EF">
              <w:rPr>
                <w:rFonts w:asciiTheme="minorHAnsi" w:hAnsiTheme="minorHAnsi"/>
                <w:b/>
                <w:bCs/>
                <w:sz w:val="20"/>
                <w:szCs w:val="20"/>
                <w:lang w:eastAsia="sr-Latn-RS"/>
              </w:rPr>
              <w:t>25.760.000,00</w:t>
            </w:r>
          </w:p>
        </w:tc>
        <w:tc>
          <w:tcPr>
            <w:tcW w:w="1712" w:type="dxa"/>
            <w:tcBorders>
              <w:top w:val="nil"/>
              <w:left w:val="nil"/>
              <w:bottom w:val="single" w:sz="4" w:space="0" w:color="auto"/>
              <w:right w:val="single" w:sz="4" w:space="0" w:color="auto"/>
            </w:tcBorders>
            <w:shd w:val="clear" w:color="auto" w:fill="8DB3E2" w:themeFill="text2" w:themeFillTint="66"/>
            <w:vAlign w:val="center"/>
            <w:hideMark/>
          </w:tcPr>
          <w:p w14:paraId="2C35B00C" w14:textId="77777777" w:rsidR="001538EF" w:rsidRPr="005767EF" w:rsidRDefault="00245931" w:rsidP="00245931">
            <w:pPr>
              <w:jc w:val="right"/>
              <w:rPr>
                <w:rFonts w:asciiTheme="minorHAnsi" w:hAnsiTheme="minorHAnsi"/>
                <w:b/>
                <w:bCs/>
                <w:sz w:val="20"/>
                <w:szCs w:val="20"/>
                <w:lang w:val="sr-Cyrl-BA" w:eastAsia="sr-Latn-RS"/>
              </w:rPr>
            </w:pPr>
            <w:r>
              <w:rPr>
                <w:rFonts w:asciiTheme="minorHAnsi" w:hAnsiTheme="minorHAnsi"/>
                <w:b/>
                <w:bCs/>
                <w:sz w:val="20"/>
                <w:szCs w:val="20"/>
                <w:lang w:eastAsia="sr-Latn-RS"/>
              </w:rPr>
              <w:t>5.470.260,00</w:t>
            </w:r>
          </w:p>
        </w:tc>
      </w:tr>
    </w:tbl>
    <w:p w14:paraId="4561315B" w14:textId="77777777" w:rsidR="001538EF" w:rsidRPr="005767EF" w:rsidRDefault="001538EF" w:rsidP="00D368D4">
      <w:pPr>
        <w:autoSpaceDE w:val="0"/>
        <w:autoSpaceDN w:val="0"/>
        <w:adjustRightInd w:val="0"/>
        <w:rPr>
          <w:rFonts w:asciiTheme="minorHAnsi" w:eastAsiaTheme="minorHAnsi" w:hAnsiTheme="minorHAnsi"/>
          <w:color w:val="auto"/>
          <w:sz w:val="20"/>
          <w:szCs w:val="20"/>
          <w:lang w:eastAsia="en-US"/>
        </w:rPr>
      </w:pPr>
    </w:p>
    <w:p w14:paraId="3CAF3B83" w14:textId="77777777" w:rsidR="00245931" w:rsidRPr="00D368D4" w:rsidRDefault="001769FF" w:rsidP="00D368D4">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Tokom 2023. godine, Garantni fond je izdao pojedinačne garancije u korist četiri finansijska posrednika sa kojima ima potpisane Ugovore o poslovno-tehničkoj saradnji. Četiri garancije u iznosu od 1.315.260,00 KM su izdane u korist MF banke a.d. Banja Luka.  Dvije garancije su izdane u korist Fonda za razvoj i zapošljavanje a.d. Banja Luka, i to po osnovu dvije pozajmice ukupnog iznosa 17.200.000,00 KM, gdje pripadajuće garancije iznose 2.600.000,00 KM.</w:t>
      </w:r>
    </w:p>
    <w:p w14:paraId="298AE70F" w14:textId="77777777" w:rsidR="00A84DF8" w:rsidRPr="00D368D4" w:rsidRDefault="00A84DF8" w:rsidP="00D368D4">
      <w:pPr>
        <w:autoSpaceDE w:val="0"/>
        <w:autoSpaceDN w:val="0"/>
        <w:adjustRightInd w:val="0"/>
        <w:rPr>
          <w:rFonts w:asciiTheme="minorHAnsi" w:eastAsiaTheme="minorHAnsi" w:hAnsiTheme="minorHAnsi"/>
          <w:color w:val="auto"/>
          <w:sz w:val="20"/>
          <w:szCs w:val="20"/>
          <w:lang w:val="sr-Cyrl-BA" w:eastAsia="en-US"/>
        </w:rPr>
      </w:pPr>
    </w:p>
    <w:p w14:paraId="50CEF574" w14:textId="77777777" w:rsidR="001538EF" w:rsidRPr="00D368D4" w:rsidRDefault="00245931" w:rsidP="00D368D4">
      <w:pPr>
        <w:autoSpaceDE w:val="0"/>
        <w:autoSpaceDN w:val="0"/>
        <w:adjustRightInd w:val="0"/>
        <w:rPr>
          <w:rFonts w:asciiTheme="minorHAnsi" w:eastAsiaTheme="minorHAnsi" w:hAnsiTheme="minorHAnsi"/>
          <w:color w:val="auto"/>
          <w:sz w:val="20"/>
          <w:szCs w:val="20"/>
          <w:lang w:val="sr-Cyrl-BA" w:eastAsia="en-US"/>
        </w:rPr>
      </w:pPr>
      <w:r w:rsidRPr="00D368D4">
        <w:rPr>
          <w:rFonts w:asciiTheme="minorHAnsi" w:eastAsiaTheme="minorHAnsi" w:hAnsiTheme="minorHAnsi"/>
          <w:color w:val="auto"/>
          <w:sz w:val="20"/>
          <w:szCs w:val="20"/>
          <w:lang w:eastAsia="en-US"/>
        </w:rPr>
        <w:t xml:space="preserve">U korist Naše banke a.d. Banja Luka je izdana jedna garancija u iznosu od 55.000,00 KM, kao obezbjeđenje po kreditu od 110.000,00 KM. Jedna garancija je izdana i u korist Procredit bank d.d. Sarajevo, a njen iznos je 1.500.000,00 KM, čime je obezbijeđen kredit u iznosu od 3.800.000,00 KM. </w:t>
      </w:r>
    </w:p>
    <w:p w14:paraId="2EAB362A" w14:textId="77777777" w:rsidR="001538EF" w:rsidRPr="00D368D4" w:rsidRDefault="001538EF" w:rsidP="00D368D4">
      <w:pPr>
        <w:autoSpaceDE w:val="0"/>
        <w:autoSpaceDN w:val="0"/>
        <w:adjustRightInd w:val="0"/>
        <w:spacing w:line="276" w:lineRule="auto"/>
        <w:rPr>
          <w:rFonts w:asciiTheme="minorHAnsi" w:eastAsiaTheme="minorHAnsi" w:hAnsiTheme="minorHAnsi"/>
          <w:color w:val="FF0000"/>
          <w:sz w:val="20"/>
          <w:szCs w:val="20"/>
          <w:lang w:eastAsia="en-US"/>
        </w:rPr>
      </w:pPr>
    </w:p>
    <w:tbl>
      <w:tblPr>
        <w:tblpPr w:leftFromText="180" w:rightFromText="180" w:vertAnchor="text" w:horzAnchor="margin" w:tblpY="50"/>
        <w:tblOverlap w:val="never"/>
        <w:tblW w:w="8897" w:type="dxa"/>
        <w:tblLayout w:type="fixed"/>
        <w:tblLook w:val="04A0" w:firstRow="1" w:lastRow="0" w:firstColumn="1" w:lastColumn="0" w:noHBand="0" w:noVBand="1"/>
      </w:tblPr>
      <w:tblGrid>
        <w:gridCol w:w="8897"/>
      </w:tblGrid>
      <w:tr w:rsidR="009C7D7A" w:rsidRPr="005767EF" w14:paraId="61EA0233" w14:textId="77777777" w:rsidTr="007534DD">
        <w:trPr>
          <w:trHeight w:val="431"/>
        </w:trPr>
        <w:tc>
          <w:tcPr>
            <w:tcW w:w="8897" w:type="dxa"/>
            <w:tcBorders>
              <w:top w:val="nil"/>
              <w:left w:val="nil"/>
              <w:bottom w:val="nil"/>
              <w:right w:val="nil"/>
            </w:tcBorders>
            <w:shd w:val="clear" w:color="000000" w:fill="FFFFFF"/>
            <w:vAlign w:val="center"/>
            <w:hideMark/>
          </w:tcPr>
          <w:p w14:paraId="7949A69F" w14:textId="77777777" w:rsidR="001538EF" w:rsidRPr="005767EF" w:rsidRDefault="001538EF" w:rsidP="00A84DF8">
            <w:pPr>
              <w:jc w:val="center"/>
              <w:rPr>
                <w:rFonts w:asciiTheme="minorHAnsi" w:hAnsiTheme="minorHAnsi"/>
                <w:color w:val="auto"/>
                <w:sz w:val="20"/>
                <w:szCs w:val="20"/>
              </w:rPr>
            </w:pPr>
            <w:r w:rsidRPr="005767EF">
              <w:rPr>
                <w:rFonts w:asciiTheme="minorHAnsi" w:hAnsiTheme="minorHAnsi"/>
                <w:b/>
                <w:bCs/>
                <w:color w:val="auto"/>
                <w:sz w:val="20"/>
                <w:szCs w:val="20"/>
                <w:lang w:eastAsia="sr-Latn-RS"/>
              </w:rPr>
              <w:t>Pregled izdanih garancija po djelatnostima u periodu 01.01.2023. - 31.12.2023. godine</w:t>
            </w:r>
          </w:p>
          <w:p w14:paraId="198A18E6" w14:textId="77777777" w:rsidR="001538EF" w:rsidRPr="005767EF" w:rsidRDefault="001538EF" w:rsidP="009C7D7A">
            <w:pPr>
              <w:jc w:val="left"/>
              <w:rPr>
                <w:rFonts w:asciiTheme="minorHAnsi" w:hAnsiTheme="minorHAnsi"/>
                <w:bCs/>
                <w:color w:val="FF0000"/>
                <w:sz w:val="20"/>
                <w:szCs w:val="20"/>
                <w:lang w:val="sr-Cyrl-RS" w:eastAsia="sr-Latn-RS"/>
              </w:rPr>
            </w:pPr>
            <w:r w:rsidRPr="005767EF">
              <w:rPr>
                <w:rFonts w:asciiTheme="minorHAnsi" w:hAnsiTheme="minorHAnsi"/>
                <w:bCs/>
                <w:color w:val="FF0000"/>
                <w:sz w:val="20"/>
                <w:szCs w:val="20"/>
                <w:lang w:eastAsia="sr-Latn-RS"/>
              </w:rPr>
              <w:t xml:space="preserve"> </w:t>
            </w:r>
          </w:p>
        </w:tc>
      </w:tr>
      <w:tr w:rsidR="001538EF" w:rsidRPr="005767EF" w14:paraId="2078C8AC" w14:textId="77777777" w:rsidTr="009C7D7A">
        <w:trPr>
          <w:trHeight w:val="441"/>
        </w:trPr>
        <w:tc>
          <w:tcPr>
            <w:tcW w:w="8897" w:type="dxa"/>
            <w:tcBorders>
              <w:top w:val="nil"/>
              <w:left w:val="nil"/>
              <w:bottom w:val="nil"/>
              <w:right w:val="nil"/>
            </w:tcBorders>
            <w:shd w:val="clear" w:color="000000" w:fill="FFFFFF"/>
            <w:vAlign w:val="center"/>
          </w:tcPr>
          <w:p w14:paraId="696345C7" w14:textId="77777777" w:rsidR="001538EF" w:rsidRPr="005767EF" w:rsidRDefault="009C7D7A" w:rsidP="00F60818">
            <w:pPr>
              <w:jc w:val="right"/>
              <w:rPr>
                <w:rFonts w:asciiTheme="minorHAnsi" w:hAnsiTheme="minorHAnsi"/>
                <w:b/>
                <w:bCs/>
                <w:sz w:val="20"/>
                <w:szCs w:val="20"/>
                <w:lang w:val="sr-Latn-RS" w:eastAsia="sr-Latn-RS"/>
              </w:rPr>
            </w:pPr>
            <w:r w:rsidRPr="005767EF">
              <w:rPr>
                <w:rFonts w:asciiTheme="minorHAnsi" w:hAnsiTheme="minorHAnsi"/>
                <w:b/>
                <w:bCs/>
                <w:color w:val="auto"/>
                <w:sz w:val="20"/>
                <w:szCs w:val="20"/>
                <w:lang w:eastAsia="sr-Latn-RS"/>
              </w:rPr>
              <w:t>Tabela 3</w:t>
            </w:r>
          </w:p>
        </w:tc>
      </w:tr>
      <w:tr w:rsidR="001538EF" w:rsidRPr="005767EF" w14:paraId="387DBA0F" w14:textId="77777777" w:rsidTr="009C7D7A">
        <w:trPr>
          <w:trHeight w:val="441"/>
        </w:trPr>
        <w:tc>
          <w:tcPr>
            <w:tcW w:w="8897" w:type="dxa"/>
            <w:tcBorders>
              <w:top w:val="nil"/>
              <w:left w:val="nil"/>
              <w:bottom w:val="nil"/>
              <w:right w:val="nil"/>
            </w:tcBorders>
            <w:shd w:val="clear" w:color="000000" w:fill="FFFFFF"/>
            <w:vAlign w:val="center"/>
          </w:tcPr>
          <w:tbl>
            <w:tblPr>
              <w:tblpPr w:leftFromText="180" w:rightFromText="180" w:vertAnchor="text" w:horzAnchor="margin" w:tblpY="-13"/>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275"/>
              <w:gridCol w:w="1562"/>
              <w:gridCol w:w="1557"/>
            </w:tblGrid>
            <w:tr w:rsidR="001538EF" w:rsidRPr="005767EF" w14:paraId="54A84512" w14:textId="77777777" w:rsidTr="000F6275">
              <w:trPr>
                <w:trHeight w:val="414"/>
              </w:trPr>
              <w:tc>
                <w:tcPr>
                  <w:tcW w:w="4390" w:type="dxa"/>
                  <w:shd w:val="clear" w:color="auto" w:fill="8DB3E2" w:themeFill="text2" w:themeFillTint="66"/>
                  <w:vAlign w:val="center"/>
                  <w:hideMark/>
                </w:tcPr>
                <w:p w14:paraId="54B73F1B" w14:textId="6A7DC77B" w:rsidR="001538EF" w:rsidRPr="005767EF" w:rsidRDefault="000F6275" w:rsidP="007534DD">
                  <w:pPr>
                    <w:jc w:val="center"/>
                    <w:rPr>
                      <w:rFonts w:asciiTheme="minorHAnsi" w:hAnsiTheme="minorHAnsi"/>
                      <w:b/>
                      <w:sz w:val="20"/>
                      <w:szCs w:val="20"/>
                      <w:lang w:val="sr-Cyrl-RS"/>
                    </w:rPr>
                  </w:pPr>
                  <w:r>
                    <w:rPr>
                      <w:rFonts w:asciiTheme="minorHAnsi" w:hAnsiTheme="minorHAnsi"/>
                      <w:b/>
                      <w:sz w:val="20"/>
                      <w:szCs w:val="20"/>
                      <w:lang w:eastAsia="sr-Latn-RS"/>
                    </w:rPr>
                    <w:t>Djelatnost</w:t>
                  </w:r>
                </w:p>
              </w:tc>
              <w:tc>
                <w:tcPr>
                  <w:tcW w:w="1275" w:type="dxa"/>
                  <w:shd w:val="clear" w:color="auto" w:fill="8DB3E2" w:themeFill="text2" w:themeFillTint="66"/>
                  <w:vAlign w:val="center"/>
                </w:tcPr>
                <w:p w14:paraId="14FCD9BC" w14:textId="77777777" w:rsidR="001538EF" w:rsidRPr="005767EF" w:rsidRDefault="001538EF" w:rsidP="007534DD">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Broj garancija</w:t>
                  </w:r>
                </w:p>
              </w:tc>
              <w:tc>
                <w:tcPr>
                  <w:tcW w:w="1562" w:type="dxa"/>
                  <w:shd w:val="clear" w:color="auto" w:fill="8DB3E2" w:themeFill="text2" w:themeFillTint="66"/>
                  <w:vAlign w:val="center"/>
                  <w:hideMark/>
                </w:tcPr>
                <w:p w14:paraId="4339BC7E" w14:textId="77777777" w:rsidR="001538EF" w:rsidRPr="005767EF" w:rsidRDefault="001538EF" w:rsidP="007534DD">
                  <w:pPr>
                    <w:jc w:val="center"/>
                    <w:rPr>
                      <w:rFonts w:asciiTheme="minorHAnsi" w:hAnsiTheme="minorHAnsi"/>
                      <w:b/>
                      <w:sz w:val="20"/>
                      <w:szCs w:val="20"/>
                      <w:lang w:val="sr-Cyrl-RS"/>
                    </w:rPr>
                  </w:pPr>
                  <w:r w:rsidRPr="005767EF">
                    <w:rPr>
                      <w:rFonts w:asciiTheme="minorHAnsi" w:hAnsiTheme="minorHAnsi"/>
                      <w:b/>
                      <w:sz w:val="20"/>
                      <w:szCs w:val="20"/>
                      <w:lang w:eastAsia="sr-Latn-RS"/>
                    </w:rPr>
                    <w:t>Iznos kredita</w:t>
                  </w:r>
                </w:p>
              </w:tc>
              <w:tc>
                <w:tcPr>
                  <w:tcW w:w="1557" w:type="dxa"/>
                  <w:shd w:val="clear" w:color="auto" w:fill="8DB3E2" w:themeFill="text2" w:themeFillTint="66"/>
                  <w:vAlign w:val="center"/>
                </w:tcPr>
                <w:p w14:paraId="1900F449" w14:textId="77777777" w:rsidR="001538EF" w:rsidRPr="005767EF" w:rsidRDefault="001538EF" w:rsidP="007534DD">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Iznos garancije</w:t>
                  </w:r>
                </w:p>
              </w:tc>
            </w:tr>
            <w:tr w:rsidR="001538EF" w:rsidRPr="005767EF" w14:paraId="78C68E98" w14:textId="77777777" w:rsidTr="000F6275">
              <w:trPr>
                <w:trHeight w:val="137"/>
              </w:trPr>
              <w:tc>
                <w:tcPr>
                  <w:tcW w:w="4390" w:type="dxa"/>
                  <w:shd w:val="clear" w:color="000000" w:fill="FFFFFF"/>
                  <w:vAlign w:val="bottom"/>
                  <w:hideMark/>
                </w:tcPr>
                <w:p w14:paraId="566EB85A" w14:textId="77777777" w:rsidR="001538EF" w:rsidRPr="005767EF" w:rsidRDefault="007534DD" w:rsidP="001538EF">
                  <w:pPr>
                    <w:jc w:val="left"/>
                    <w:rPr>
                      <w:rFonts w:asciiTheme="minorHAnsi" w:hAnsiTheme="minorHAnsi"/>
                      <w:sz w:val="20"/>
                      <w:szCs w:val="20"/>
                      <w:lang w:val="sr-Latn-RS" w:eastAsia="sr-Latn-RS"/>
                    </w:rPr>
                  </w:pPr>
                  <w:r w:rsidRPr="005767EF">
                    <w:rPr>
                      <w:rFonts w:asciiTheme="minorHAnsi" w:hAnsiTheme="minorHAnsi"/>
                      <w:sz w:val="20"/>
                      <w:szCs w:val="20"/>
                      <w:lang w:eastAsia="sr-Latn-RS"/>
                    </w:rPr>
                    <w:t>Poljoprivreda , šumarstvo i ribolov</w:t>
                  </w:r>
                </w:p>
              </w:tc>
              <w:tc>
                <w:tcPr>
                  <w:tcW w:w="1275" w:type="dxa"/>
                  <w:shd w:val="clear" w:color="000000" w:fill="FFFFFF"/>
                </w:tcPr>
                <w:p w14:paraId="70A3355A" w14:textId="77777777" w:rsidR="001538EF" w:rsidRPr="005767EF" w:rsidRDefault="00A94CD4" w:rsidP="001538EF">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3</w:t>
                  </w:r>
                </w:p>
              </w:tc>
              <w:tc>
                <w:tcPr>
                  <w:tcW w:w="1562" w:type="dxa"/>
                  <w:shd w:val="clear" w:color="000000" w:fill="FFFFFF"/>
                  <w:hideMark/>
                </w:tcPr>
                <w:p w14:paraId="4042A3AC" w14:textId="77777777" w:rsidR="001538EF" w:rsidRPr="005767EF" w:rsidRDefault="007534DD" w:rsidP="00A94CD4">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6.300.000,00</w:t>
                  </w:r>
                </w:p>
              </w:tc>
              <w:tc>
                <w:tcPr>
                  <w:tcW w:w="1557" w:type="dxa"/>
                  <w:shd w:val="clear" w:color="000000" w:fill="FFFFFF"/>
                  <w:hideMark/>
                </w:tcPr>
                <w:p w14:paraId="578DDF90" w14:textId="77777777" w:rsidR="001538EF" w:rsidRPr="005767EF" w:rsidRDefault="007534DD" w:rsidP="00A94CD4">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2.740.610,00</w:t>
                  </w:r>
                </w:p>
              </w:tc>
            </w:tr>
            <w:tr w:rsidR="001538EF" w:rsidRPr="005767EF" w14:paraId="4E3CCA6F" w14:textId="77777777" w:rsidTr="000F6275">
              <w:trPr>
                <w:trHeight w:val="219"/>
              </w:trPr>
              <w:tc>
                <w:tcPr>
                  <w:tcW w:w="4390" w:type="dxa"/>
                  <w:shd w:val="clear" w:color="000000" w:fill="FFFFFF"/>
                  <w:vAlign w:val="center"/>
                  <w:hideMark/>
                </w:tcPr>
                <w:p w14:paraId="74596403" w14:textId="77777777" w:rsidR="001538EF" w:rsidRPr="005767EF" w:rsidRDefault="007534DD" w:rsidP="001538EF">
                  <w:pPr>
                    <w:jc w:val="left"/>
                    <w:rPr>
                      <w:rFonts w:asciiTheme="minorHAnsi" w:hAnsiTheme="minorHAnsi"/>
                      <w:sz w:val="20"/>
                      <w:szCs w:val="20"/>
                      <w:lang w:val="sr-Latn-RS" w:eastAsia="sr-Latn-RS"/>
                    </w:rPr>
                  </w:pPr>
                  <w:r w:rsidRPr="005767EF">
                    <w:rPr>
                      <w:rFonts w:asciiTheme="minorHAnsi" w:hAnsiTheme="minorHAnsi"/>
                      <w:sz w:val="20"/>
                      <w:szCs w:val="20"/>
                      <w:lang w:eastAsia="sr-Latn-RS"/>
                    </w:rPr>
                    <w:t>Prerađivačka industrija</w:t>
                  </w:r>
                </w:p>
              </w:tc>
              <w:tc>
                <w:tcPr>
                  <w:tcW w:w="1275" w:type="dxa"/>
                  <w:shd w:val="clear" w:color="000000" w:fill="FFFFFF"/>
                </w:tcPr>
                <w:p w14:paraId="245EBE9A" w14:textId="77777777" w:rsidR="001538EF" w:rsidRPr="005767EF" w:rsidRDefault="00F75B3A" w:rsidP="001538EF">
                  <w:pPr>
                    <w:jc w:val="center"/>
                    <w:rPr>
                      <w:rFonts w:asciiTheme="minorHAnsi" w:hAnsiTheme="minorHAnsi"/>
                      <w:sz w:val="20"/>
                      <w:szCs w:val="20"/>
                      <w:lang w:val="sr-Cyrl-RS" w:eastAsia="sr-Latn-RS"/>
                    </w:rPr>
                  </w:pPr>
                  <w:r>
                    <w:rPr>
                      <w:rFonts w:asciiTheme="minorHAnsi" w:hAnsiTheme="minorHAnsi"/>
                      <w:sz w:val="20"/>
                      <w:szCs w:val="20"/>
                      <w:lang w:eastAsia="sr-Latn-RS"/>
                    </w:rPr>
                    <w:t>1</w:t>
                  </w:r>
                </w:p>
              </w:tc>
              <w:tc>
                <w:tcPr>
                  <w:tcW w:w="1562" w:type="dxa"/>
                  <w:shd w:val="clear" w:color="000000" w:fill="FFFFFF"/>
                  <w:hideMark/>
                </w:tcPr>
                <w:p w14:paraId="61C2E8FE" w14:textId="77777777" w:rsidR="001538EF" w:rsidRPr="005767EF" w:rsidRDefault="00F75B3A" w:rsidP="00F75B3A">
                  <w:pPr>
                    <w:jc w:val="right"/>
                    <w:rPr>
                      <w:rFonts w:asciiTheme="minorHAnsi" w:hAnsiTheme="minorHAnsi"/>
                      <w:sz w:val="20"/>
                      <w:szCs w:val="20"/>
                      <w:lang w:val="sr-Latn-RS" w:eastAsia="sr-Latn-RS"/>
                    </w:rPr>
                  </w:pPr>
                  <w:r>
                    <w:rPr>
                      <w:rFonts w:asciiTheme="minorHAnsi" w:hAnsiTheme="minorHAnsi"/>
                      <w:sz w:val="20"/>
                      <w:szCs w:val="20"/>
                      <w:lang w:eastAsia="sr-Latn-RS"/>
                    </w:rPr>
                    <w:t>1.500.000,00</w:t>
                  </w:r>
                </w:p>
              </w:tc>
              <w:tc>
                <w:tcPr>
                  <w:tcW w:w="1557" w:type="dxa"/>
                  <w:shd w:val="clear" w:color="000000" w:fill="FFFFFF"/>
                  <w:hideMark/>
                </w:tcPr>
                <w:p w14:paraId="0D714A51" w14:textId="77777777" w:rsidR="001538EF" w:rsidRPr="005767EF" w:rsidRDefault="00A94CD4" w:rsidP="00F75B3A">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249.900,00</w:t>
                  </w:r>
                </w:p>
              </w:tc>
            </w:tr>
            <w:tr w:rsidR="001538EF" w:rsidRPr="005767EF" w14:paraId="64D7EEF7" w14:textId="77777777" w:rsidTr="000F6275">
              <w:trPr>
                <w:trHeight w:val="219"/>
              </w:trPr>
              <w:tc>
                <w:tcPr>
                  <w:tcW w:w="4390" w:type="dxa"/>
                  <w:shd w:val="clear" w:color="000000" w:fill="FFFFFF"/>
                  <w:vAlign w:val="center"/>
                  <w:hideMark/>
                </w:tcPr>
                <w:p w14:paraId="0D2EE955" w14:textId="77777777" w:rsidR="001538EF" w:rsidRPr="005767EF" w:rsidRDefault="007534DD" w:rsidP="001538EF">
                  <w:pPr>
                    <w:jc w:val="left"/>
                    <w:rPr>
                      <w:rFonts w:asciiTheme="minorHAnsi" w:hAnsiTheme="minorHAnsi"/>
                      <w:sz w:val="20"/>
                      <w:szCs w:val="20"/>
                      <w:lang w:val="sr-Latn-RS" w:eastAsia="sr-Latn-RS"/>
                    </w:rPr>
                  </w:pPr>
                  <w:r w:rsidRPr="005767EF">
                    <w:rPr>
                      <w:rFonts w:asciiTheme="minorHAnsi" w:hAnsiTheme="minorHAnsi"/>
                      <w:sz w:val="20"/>
                      <w:szCs w:val="20"/>
                      <w:lang w:eastAsia="sr-Latn-RS"/>
                    </w:rPr>
                    <w:t>Građevinarstvo</w:t>
                  </w:r>
                </w:p>
              </w:tc>
              <w:tc>
                <w:tcPr>
                  <w:tcW w:w="1275" w:type="dxa"/>
                  <w:shd w:val="clear" w:color="000000" w:fill="FFFFFF"/>
                </w:tcPr>
                <w:p w14:paraId="5BBA0FA9" w14:textId="77777777" w:rsidR="001538EF" w:rsidRPr="005767EF" w:rsidRDefault="004D0269" w:rsidP="001538EF">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1562" w:type="dxa"/>
                  <w:shd w:val="clear" w:color="000000" w:fill="FFFFFF"/>
                  <w:hideMark/>
                </w:tcPr>
                <w:p w14:paraId="0BF79F90" w14:textId="77777777" w:rsidR="001538EF" w:rsidRPr="005767EF" w:rsidRDefault="007534DD" w:rsidP="001538EF">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2.500.000,00</w:t>
                  </w:r>
                </w:p>
              </w:tc>
              <w:tc>
                <w:tcPr>
                  <w:tcW w:w="1557" w:type="dxa"/>
                  <w:shd w:val="clear" w:color="000000" w:fill="FFFFFF"/>
                  <w:hideMark/>
                </w:tcPr>
                <w:p w14:paraId="35B110A2" w14:textId="77777777" w:rsidR="001538EF" w:rsidRPr="005767EF" w:rsidRDefault="007534DD" w:rsidP="001538EF">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749.750,00</w:t>
                  </w:r>
                </w:p>
              </w:tc>
            </w:tr>
            <w:tr w:rsidR="001538EF" w:rsidRPr="005767EF" w14:paraId="5625C205" w14:textId="77777777" w:rsidTr="000F6275">
              <w:trPr>
                <w:trHeight w:val="219"/>
              </w:trPr>
              <w:tc>
                <w:tcPr>
                  <w:tcW w:w="4390" w:type="dxa"/>
                  <w:shd w:val="clear" w:color="000000" w:fill="FFFFFF"/>
                  <w:vAlign w:val="center"/>
                  <w:hideMark/>
                </w:tcPr>
                <w:p w14:paraId="4AF76AF2" w14:textId="77777777" w:rsidR="001538EF" w:rsidRPr="005767EF" w:rsidRDefault="004D0269" w:rsidP="001538EF">
                  <w:pPr>
                    <w:jc w:val="left"/>
                    <w:rPr>
                      <w:rFonts w:asciiTheme="minorHAnsi" w:hAnsiTheme="minorHAnsi"/>
                      <w:color w:val="auto"/>
                      <w:sz w:val="20"/>
                      <w:szCs w:val="20"/>
                      <w:lang w:val="sr-Cyrl-RS" w:eastAsia="sr-Latn-RS"/>
                    </w:rPr>
                  </w:pPr>
                  <w:r w:rsidRPr="005767EF">
                    <w:rPr>
                      <w:rFonts w:asciiTheme="minorHAnsi" w:hAnsiTheme="minorHAnsi"/>
                      <w:color w:val="auto"/>
                      <w:sz w:val="20"/>
                      <w:szCs w:val="20"/>
                      <w:lang w:eastAsia="sr-Latn-RS"/>
                    </w:rPr>
                    <w:t>Snabdijevanje vodom, kanalizacija, upravljanje otpadom</w:t>
                  </w:r>
                </w:p>
              </w:tc>
              <w:tc>
                <w:tcPr>
                  <w:tcW w:w="1275" w:type="dxa"/>
                  <w:shd w:val="clear" w:color="000000" w:fill="FFFFFF"/>
                  <w:vAlign w:val="center"/>
                </w:tcPr>
                <w:p w14:paraId="10CEB15D" w14:textId="77777777" w:rsidR="001538EF" w:rsidRPr="005767EF" w:rsidRDefault="004D0269" w:rsidP="001538EF">
                  <w:pPr>
                    <w:jc w:val="center"/>
                    <w:rPr>
                      <w:rFonts w:asciiTheme="minorHAnsi" w:hAnsiTheme="minorHAnsi"/>
                      <w:color w:val="auto"/>
                      <w:sz w:val="20"/>
                      <w:szCs w:val="20"/>
                      <w:lang w:val="sr-Cyrl-RS" w:eastAsia="sr-Latn-RS"/>
                    </w:rPr>
                  </w:pPr>
                  <w:r w:rsidRPr="005767EF">
                    <w:rPr>
                      <w:rFonts w:asciiTheme="minorHAnsi" w:hAnsiTheme="minorHAnsi"/>
                      <w:color w:val="auto"/>
                      <w:sz w:val="20"/>
                      <w:szCs w:val="20"/>
                      <w:lang w:eastAsia="sr-Latn-RS"/>
                    </w:rPr>
                    <w:t>1</w:t>
                  </w:r>
                </w:p>
              </w:tc>
              <w:tc>
                <w:tcPr>
                  <w:tcW w:w="1562" w:type="dxa"/>
                  <w:shd w:val="clear" w:color="000000" w:fill="FFFFFF"/>
                  <w:vAlign w:val="center"/>
                  <w:hideMark/>
                </w:tcPr>
                <w:p w14:paraId="64770264" w14:textId="77777777" w:rsidR="001538EF" w:rsidRPr="005767EF" w:rsidRDefault="004D0269" w:rsidP="001538EF">
                  <w:pPr>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eastAsia="sr-Latn-RS"/>
                    </w:rPr>
                    <w:t>350.000,00</w:t>
                  </w:r>
                </w:p>
              </w:tc>
              <w:tc>
                <w:tcPr>
                  <w:tcW w:w="1557" w:type="dxa"/>
                  <w:shd w:val="clear" w:color="000000" w:fill="FFFFFF"/>
                  <w:vAlign w:val="center"/>
                  <w:hideMark/>
                </w:tcPr>
                <w:p w14:paraId="44A3ACB7" w14:textId="77777777" w:rsidR="001538EF" w:rsidRPr="005767EF" w:rsidRDefault="004D0269" w:rsidP="001538EF">
                  <w:pPr>
                    <w:jc w:val="right"/>
                    <w:rPr>
                      <w:rFonts w:asciiTheme="minorHAnsi" w:hAnsiTheme="minorHAnsi"/>
                      <w:color w:val="auto"/>
                      <w:sz w:val="20"/>
                      <w:szCs w:val="20"/>
                      <w:lang w:val="sr-Latn-RS" w:eastAsia="sr-Latn-RS"/>
                    </w:rPr>
                  </w:pPr>
                  <w:r w:rsidRPr="005767EF">
                    <w:rPr>
                      <w:rFonts w:asciiTheme="minorHAnsi" w:hAnsiTheme="minorHAnsi"/>
                      <w:color w:val="auto"/>
                      <w:sz w:val="20"/>
                      <w:szCs w:val="20"/>
                      <w:lang w:eastAsia="sr-Latn-RS"/>
                    </w:rPr>
                    <w:t>175.000,00</w:t>
                  </w:r>
                </w:p>
              </w:tc>
            </w:tr>
            <w:tr w:rsidR="001538EF" w:rsidRPr="005767EF" w14:paraId="1EDFD382" w14:textId="77777777" w:rsidTr="000F6275">
              <w:trPr>
                <w:trHeight w:val="219"/>
              </w:trPr>
              <w:tc>
                <w:tcPr>
                  <w:tcW w:w="4390" w:type="dxa"/>
                  <w:shd w:val="clear" w:color="000000" w:fill="FFFFFF"/>
                  <w:vAlign w:val="center"/>
                  <w:hideMark/>
                </w:tcPr>
                <w:p w14:paraId="019115FB" w14:textId="77777777" w:rsidR="001538EF" w:rsidRPr="005767EF" w:rsidRDefault="00A94CD4" w:rsidP="001538EF">
                  <w:pPr>
                    <w:jc w:val="left"/>
                    <w:rPr>
                      <w:rFonts w:asciiTheme="minorHAnsi" w:hAnsiTheme="minorHAnsi"/>
                      <w:color w:val="auto"/>
                      <w:sz w:val="20"/>
                      <w:szCs w:val="20"/>
                      <w:lang w:val="sr-Cyrl-RS" w:eastAsia="sr-Latn-RS"/>
                    </w:rPr>
                  </w:pPr>
                  <w:r w:rsidRPr="005767EF">
                    <w:rPr>
                      <w:rFonts w:asciiTheme="minorHAnsi" w:hAnsiTheme="minorHAnsi"/>
                      <w:color w:val="auto"/>
                      <w:sz w:val="20"/>
                      <w:szCs w:val="20"/>
                      <w:lang w:eastAsia="sr-Latn-RS"/>
                    </w:rPr>
                    <w:t>Trgovina na veliko i malo, popravka motornih vozila i motocikala</w:t>
                  </w:r>
                </w:p>
              </w:tc>
              <w:tc>
                <w:tcPr>
                  <w:tcW w:w="1275" w:type="dxa"/>
                  <w:shd w:val="clear" w:color="000000" w:fill="FFFFFF"/>
                </w:tcPr>
                <w:p w14:paraId="360501B2" w14:textId="77777777" w:rsidR="001538EF" w:rsidRPr="005767EF" w:rsidRDefault="00A94CD4" w:rsidP="001538EF">
                  <w:pPr>
                    <w:jc w:val="center"/>
                    <w:rPr>
                      <w:rFonts w:asciiTheme="minorHAnsi" w:hAnsiTheme="minorHAnsi"/>
                      <w:color w:val="auto"/>
                      <w:sz w:val="20"/>
                      <w:szCs w:val="20"/>
                      <w:lang w:val="sr-Cyrl-RS" w:eastAsia="sr-Latn-RS"/>
                    </w:rPr>
                  </w:pPr>
                  <w:r w:rsidRPr="005767EF">
                    <w:rPr>
                      <w:rFonts w:asciiTheme="minorHAnsi" w:hAnsiTheme="minorHAnsi"/>
                      <w:color w:val="auto"/>
                      <w:sz w:val="20"/>
                      <w:szCs w:val="20"/>
                      <w:lang w:eastAsia="sr-Latn-RS"/>
                    </w:rPr>
                    <w:t>1</w:t>
                  </w:r>
                </w:p>
              </w:tc>
              <w:tc>
                <w:tcPr>
                  <w:tcW w:w="1562" w:type="dxa"/>
                  <w:shd w:val="clear" w:color="000000" w:fill="FFFFFF"/>
                  <w:hideMark/>
                </w:tcPr>
                <w:p w14:paraId="791ED663" w14:textId="77777777" w:rsidR="001538EF" w:rsidRPr="005767EF" w:rsidRDefault="00A94CD4" w:rsidP="001538EF">
                  <w:pPr>
                    <w:jc w:val="right"/>
                    <w:rPr>
                      <w:rFonts w:asciiTheme="minorHAnsi" w:hAnsiTheme="minorHAnsi"/>
                      <w:color w:val="auto"/>
                      <w:sz w:val="20"/>
                      <w:szCs w:val="20"/>
                      <w:lang w:val="sr-Cyrl-RS" w:eastAsia="sr-Latn-RS"/>
                    </w:rPr>
                  </w:pPr>
                  <w:r w:rsidRPr="005767EF">
                    <w:rPr>
                      <w:rFonts w:asciiTheme="minorHAnsi" w:hAnsiTheme="minorHAnsi"/>
                      <w:color w:val="auto"/>
                      <w:sz w:val="20"/>
                      <w:szCs w:val="20"/>
                      <w:lang w:eastAsia="sr-Latn-RS"/>
                    </w:rPr>
                    <w:t>110.000,00</w:t>
                  </w:r>
                </w:p>
              </w:tc>
              <w:tc>
                <w:tcPr>
                  <w:tcW w:w="1557" w:type="dxa"/>
                  <w:shd w:val="clear" w:color="000000" w:fill="FFFFFF"/>
                  <w:hideMark/>
                </w:tcPr>
                <w:p w14:paraId="2F139FA2" w14:textId="77777777" w:rsidR="001538EF" w:rsidRPr="005767EF" w:rsidRDefault="00A94CD4" w:rsidP="001538EF">
                  <w:pPr>
                    <w:jc w:val="right"/>
                    <w:rPr>
                      <w:rFonts w:asciiTheme="minorHAnsi" w:hAnsiTheme="minorHAnsi"/>
                      <w:color w:val="auto"/>
                      <w:sz w:val="20"/>
                      <w:szCs w:val="20"/>
                      <w:lang w:val="sr-Cyrl-RS" w:eastAsia="sr-Latn-RS"/>
                    </w:rPr>
                  </w:pPr>
                  <w:r w:rsidRPr="005767EF">
                    <w:rPr>
                      <w:rFonts w:asciiTheme="minorHAnsi" w:hAnsiTheme="minorHAnsi"/>
                      <w:color w:val="auto"/>
                      <w:sz w:val="20"/>
                      <w:szCs w:val="20"/>
                      <w:lang w:eastAsia="sr-Latn-RS"/>
                    </w:rPr>
                    <w:t>55.000,00</w:t>
                  </w:r>
                </w:p>
              </w:tc>
            </w:tr>
            <w:tr w:rsidR="001538EF" w:rsidRPr="005767EF" w14:paraId="7ADD4813" w14:textId="77777777" w:rsidTr="000F6275">
              <w:trPr>
                <w:trHeight w:val="219"/>
              </w:trPr>
              <w:tc>
                <w:tcPr>
                  <w:tcW w:w="4390" w:type="dxa"/>
                  <w:shd w:val="clear" w:color="000000" w:fill="FFFFFF"/>
                  <w:vAlign w:val="center"/>
                  <w:hideMark/>
                </w:tcPr>
                <w:p w14:paraId="0BC1EAE9" w14:textId="77777777" w:rsidR="001538EF" w:rsidRPr="005767EF" w:rsidRDefault="004D0269" w:rsidP="001538EF">
                  <w:pPr>
                    <w:jc w:val="left"/>
                    <w:rPr>
                      <w:rFonts w:asciiTheme="minorHAnsi" w:hAnsiTheme="minorHAnsi"/>
                      <w:sz w:val="20"/>
                      <w:szCs w:val="20"/>
                      <w:lang w:val="sr-Cyrl-RS" w:eastAsia="sr-Latn-RS"/>
                    </w:rPr>
                  </w:pPr>
                  <w:r w:rsidRPr="005767EF">
                    <w:rPr>
                      <w:rFonts w:asciiTheme="minorHAnsi" w:hAnsiTheme="minorHAnsi"/>
                      <w:sz w:val="20"/>
                      <w:szCs w:val="20"/>
                      <w:lang w:eastAsia="sr-Latn-RS"/>
                    </w:rPr>
                    <w:t xml:space="preserve">Umjetnost , zabava i rekreacija </w:t>
                  </w:r>
                </w:p>
              </w:tc>
              <w:tc>
                <w:tcPr>
                  <w:tcW w:w="1275" w:type="dxa"/>
                  <w:shd w:val="clear" w:color="000000" w:fill="FFFFFF"/>
                </w:tcPr>
                <w:p w14:paraId="295DA777" w14:textId="77777777" w:rsidR="001538EF" w:rsidRPr="005767EF" w:rsidRDefault="001538EF" w:rsidP="001538EF">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w:t>
                  </w:r>
                </w:p>
              </w:tc>
              <w:tc>
                <w:tcPr>
                  <w:tcW w:w="1562" w:type="dxa"/>
                  <w:shd w:val="clear" w:color="000000" w:fill="FFFFFF"/>
                  <w:hideMark/>
                </w:tcPr>
                <w:p w14:paraId="08EE4A43" w14:textId="77777777" w:rsidR="001538EF" w:rsidRPr="005767EF" w:rsidRDefault="00A94CD4" w:rsidP="001538EF">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15.000.000,00</w:t>
                  </w:r>
                </w:p>
              </w:tc>
              <w:tc>
                <w:tcPr>
                  <w:tcW w:w="1557" w:type="dxa"/>
                  <w:shd w:val="clear" w:color="000000" w:fill="FFFFFF"/>
                  <w:hideMark/>
                </w:tcPr>
                <w:p w14:paraId="38A3B180" w14:textId="77777777" w:rsidR="001538EF" w:rsidRPr="005767EF" w:rsidRDefault="001538EF" w:rsidP="001538EF">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1.500.000,00</w:t>
                  </w:r>
                </w:p>
              </w:tc>
            </w:tr>
            <w:tr w:rsidR="001538EF" w:rsidRPr="005767EF" w14:paraId="33A9E850" w14:textId="77777777" w:rsidTr="000F6275">
              <w:trPr>
                <w:trHeight w:val="392"/>
              </w:trPr>
              <w:tc>
                <w:tcPr>
                  <w:tcW w:w="4390" w:type="dxa"/>
                  <w:shd w:val="clear" w:color="auto" w:fill="8DB3E2" w:themeFill="text2" w:themeFillTint="66"/>
                  <w:vAlign w:val="center"/>
                  <w:hideMark/>
                </w:tcPr>
                <w:p w14:paraId="1622F32C" w14:textId="5F1331BA" w:rsidR="001538EF" w:rsidRPr="005767EF" w:rsidRDefault="00351C6A" w:rsidP="00F60818">
                  <w:pPr>
                    <w:jc w:val="center"/>
                    <w:rPr>
                      <w:rFonts w:asciiTheme="minorHAnsi" w:hAnsiTheme="minorHAnsi"/>
                      <w:b/>
                      <w:sz w:val="20"/>
                      <w:szCs w:val="20"/>
                      <w:lang w:val="sr-Cyrl-RS" w:eastAsia="sr-Latn-RS"/>
                    </w:rPr>
                  </w:pPr>
                  <w:r>
                    <w:rPr>
                      <w:rFonts w:asciiTheme="minorHAnsi" w:hAnsiTheme="minorHAnsi"/>
                      <w:b/>
                      <w:sz w:val="20"/>
                      <w:szCs w:val="20"/>
                      <w:lang w:eastAsia="sr-Latn-RS"/>
                    </w:rPr>
                    <w:t>UKUPNO</w:t>
                  </w:r>
                </w:p>
              </w:tc>
              <w:tc>
                <w:tcPr>
                  <w:tcW w:w="1275" w:type="dxa"/>
                  <w:shd w:val="clear" w:color="auto" w:fill="8DB3E2" w:themeFill="text2" w:themeFillTint="66"/>
                  <w:vAlign w:val="center"/>
                  <w:hideMark/>
                </w:tcPr>
                <w:p w14:paraId="55D7929C" w14:textId="77777777" w:rsidR="001538EF" w:rsidRPr="005767EF" w:rsidRDefault="00F75B3A" w:rsidP="00F60818">
                  <w:pPr>
                    <w:jc w:val="center"/>
                    <w:rPr>
                      <w:rFonts w:asciiTheme="minorHAnsi" w:hAnsiTheme="minorHAnsi"/>
                      <w:b/>
                      <w:sz w:val="20"/>
                      <w:szCs w:val="20"/>
                      <w:lang w:val="sr-Cyrl-RS" w:eastAsia="sr-Latn-RS"/>
                    </w:rPr>
                  </w:pPr>
                  <w:r>
                    <w:rPr>
                      <w:rFonts w:asciiTheme="minorHAnsi" w:hAnsiTheme="minorHAnsi"/>
                      <w:b/>
                      <w:sz w:val="20"/>
                      <w:szCs w:val="20"/>
                      <w:lang w:eastAsia="sr-Latn-RS"/>
                    </w:rPr>
                    <w:t>8</w:t>
                  </w:r>
                </w:p>
              </w:tc>
              <w:tc>
                <w:tcPr>
                  <w:tcW w:w="1562" w:type="dxa"/>
                  <w:shd w:val="clear" w:color="auto" w:fill="8DB3E2" w:themeFill="text2" w:themeFillTint="66"/>
                  <w:vAlign w:val="center"/>
                  <w:hideMark/>
                </w:tcPr>
                <w:p w14:paraId="4A204A48" w14:textId="77777777" w:rsidR="001538EF" w:rsidRPr="005767EF" w:rsidRDefault="00A94CD4" w:rsidP="00F75B3A">
                  <w:pPr>
                    <w:ind w:right="-106"/>
                    <w:jc w:val="right"/>
                    <w:rPr>
                      <w:rFonts w:asciiTheme="minorHAnsi" w:hAnsiTheme="minorHAnsi"/>
                      <w:b/>
                      <w:sz w:val="20"/>
                      <w:szCs w:val="20"/>
                      <w:lang w:val="sr-Cyrl-RS" w:eastAsia="sr-Latn-RS"/>
                    </w:rPr>
                  </w:pPr>
                  <w:r w:rsidRPr="005767EF">
                    <w:rPr>
                      <w:rFonts w:asciiTheme="minorHAnsi" w:hAnsiTheme="minorHAnsi"/>
                      <w:b/>
                      <w:sz w:val="20"/>
                      <w:szCs w:val="20"/>
                      <w:lang w:eastAsia="sr-Latn-RS"/>
                    </w:rPr>
                    <w:t>25.760.000,00</w:t>
                  </w:r>
                </w:p>
              </w:tc>
              <w:tc>
                <w:tcPr>
                  <w:tcW w:w="1557" w:type="dxa"/>
                  <w:shd w:val="clear" w:color="auto" w:fill="8DB3E2" w:themeFill="text2" w:themeFillTint="66"/>
                  <w:vAlign w:val="center"/>
                  <w:hideMark/>
                </w:tcPr>
                <w:p w14:paraId="53CE7D4D" w14:textId="77777777" w:rsidR="001538EF" w:rsidRPr="005767EF" w:rsidRDefault="00F75B3A" w:rsidP="00F60818">
                  <w:pPr>
                    <w:jc w:val="right"/>
                    <w:rPr>
                      <w:rFonts w:asciiTheme="minorHAnsi" w:hAnsiTheme="minorHAnsi"/>
                      <w:b/>
                      <w:sz w:val="20"/>
                      <w:szCs w:val="20"/>
                      <w:lang w:val="sr-Cyrl-RS" w:eastAsia="sr-Latn-RS"/>
                    </w:rPr>
                  </w:pPr>
                  <w:r>
                    <w:rPr>
                      <w:rFonts w:asciiTheme="minorHAnsi" w:hAnsiTheme="minorHAnsi"/>
                      <w:b/>
                      <w:sz w:val="20"/>
                      <w:szCs w:val="20"/>
                      <w:lang w:eastAsia="sr-Latn-RS"/>
                    </w:rPr>
                    <w:t>5.470.260,00</w:t>
                  </w:r>
                </w:p>
              </w:tc>
            </w:tr>
          </w:tbl>
          <w:p w14:paraId="184209C6" w14:textId="77777777" w:rsidR="001538EF" w:rsidRPr="005767EF" w:rsidRDefault="001538EF" w:rsidP="001538EF">
            <w:pPr>
              <w:jc w:val="left"/>
              <w:rPr>
                <w:rFonts w:asciiTheme="minorHAnsi" w:hAnsiTheme="minorHAnsi"/>
                <w:b/>
                <w:bCs/>
                <w:sz w:val="20"/>
                <w:szCs w:val="20"/>
                <w:lang w:val="sr-Latn-BA" w:eastAsia="sr-Latn-RS"/>
              </w:rPr>
            </w:pPr>
          </w:p>
        </w:tc>
      </w:tr>
    </w:tbl>
    <w:p w14:paraId="4A57B614" w14:textId="77777777" w:rsidR="001538EF" w:rsidRPr="005767EF" w:rsidRDefault="001538EF" w:rsidP="001538EF">
      <w:pPr>
        <w:autoSpaceDE w:val="0"/>
        <w:autoSpaceDN w:val="0"/>
        <w:adjustRightInd w:val="0"/>
        <w:jc w:val="center"/>
        <w:rPr>
          <w:rFonts w:asciiTheme="minorHAnsi" w:hAnsiTheme="minorHAnsi"/>
          <w:b/>
          <w:bCs/>
          <w:sz w:val="20"/>
          <w:szCs w:val="20"/>
          <w:lang w:val="sr-Latn-RS" w:eastAsia="sr-Latn-RS"/>
        </w:rPr>
      </w:pPr>
    </w:p>
    <w:p w14:paraId="21F0F4EF" w14:textId="77777777" w:rsidR="00010815" w:rsidRDefault="00A84DF8" w:rsidP="001538EF">
      <w:pPr>
        <w:autoSpaceDE w:val="0"/>
        <w:autoSpaceDN w:val="0"/>
        <w:adjustRightInd w:val="0"/>
        <w:rPr>
          <w:rFonts w:asciiTheme="minorHAnsi" w:hAnsiTheme="minorHAnsi"/>
          <w:bCs/>
          <w:sz w:val="20"/>
          <w:szCs w:val="20"/>
          <w:lang w:val="sr-Cyrl-BA" w:eastAsia="sr-Latn-RS"/>
        </w:rPr>
      </w:pPr>
      <w:r>
        <w:rPr>
          <w:rFonts w:asciiTheme="minorHAnsi" w:hAnsiTheme="minorHAnsi"/>
          <w:bCs/>
          <w:sz w:val="20"/>
          <w:szCs w:val="20"/>
          <w:lang w:eastAsia="sr-Latn-RS"/>
        </w:rPr>
        <w:t xml:space="preserve">U strukturi izdavanja garancija po djelatnostima se izdvaja djelatnost poljoprivreda, šumarstvo i ribolov za koju su tokom 2023. godine izdane 3 garancije u iznosu od 2.740.640,00 KM. U ostalim djelatnostima pobrojanim u tabeli 3 je izdana po jedna garancija. </w:t>
      </w:r>
    </w:p>
    <w:p w14:paraId="33F13C3B"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48A0813E"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508B113F"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0221830B"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5AACF8B6"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38CE5568"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5EAF47DA"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05646492" w14:textId="77777777" w:rsidR="00F75B3A" w:rsidRDefault="00F75B3A" w:rsidP="001538EF">
      <w:pPr>
        <w:autoSpaceDE w:val="0"/>
        <w:autoSpaceDN w:val="0"/>
        <w:adjustRightInd w:val="0"/>
        <w:rPr>
          <w:rFonts w:asciiTheme="minorHAnsi" w:hAnsiTheme="minorHAnsi"/>
          <w:bCs/>
          <w:sz w:val="20"/>
          <w:szCs w:val="20"/>
          <w:lang w:val="sr-Cyrl-BA" w:eastAsia="sr-Latn-RS"/>
        </w:rPr>
      </w:pPr>
    </w:p>
    <w:p w14:paraId="7772D781" w14:textId="77777777" w:rsidR="00D368D4" w:rsidRPr="005767EF" w:rsidRDefault="00D368D4" w:rsidP="001538EF">
      <w:pPr>
        <w:autoSpaceDE w:val="0"/>
        <w:autoSpaceDN w:val="0"/>
        <w:adjustRightInd w:val="0"/>
        <w:rPr>
          <w:rFonts w:asciiTheme="minorHAnsi" w:hAnsiTheme="minorHAnsi"/>
          <w:bCs/>
          <w:sz w:val="20"/>
          <w:szCs w:val="20"/>
          <w:lang w:val="sr-Cyrl-BA" w:eastAsia="sr-Latn-RS"/>
        </w:rPr>
      </w:pPr>
    </w:p>
    <w:p w14:paraId="0BC25EFC" w14:textId="77777777" w:rsidR="00010815" w:rsidRPr="005767EF" w:rsidRDefault="00010815" w:rsidP="003D2212">
      <w:pPr>
        <w:autoSpaceDE w:val="0"/>
        <w:autoSpaceDN w:val="0"/>
        <w:adjustRightInd w:val="0"/>
        <w:jc w:val="center"/>
        <w:rPr>
          <w:rFonts w:asciiTheme="minorHAnsi" w:hAnsiTheme="minorHAnsi"/>
          <w:b/>
          <w:bCs/>
          <w:color w:val="auto"/>
          <w:sz w:val="20"/>
          <w:szCs w:val="20"/>
          <w:lang w:val="sr-Cyrl-RS" w:eastAsia="sr-Latn-RS"/>
        </w:rPr>
      </w:pPr>
      <w:r w:rsidRPr="005767EF">
        <w:rPr>
          <w:rFonts w:asciiTheme="minorHAnsi" w:hAnsiTheme="minorHAnsi"/>
          <w:b/>
          <w:bCs/>
          <w:color w:val="auto"/>
          <w:sz w:val="20"/>
          <w:szCs w:val="20"/>
          <w:lang w:eastAsia="sr-Latn-RS"/>
        </w:rPr>
        <w:t>Pregled izdanih garancija po gradovima i opštinama u periodu 01.01.2023. - 31.12.2023. godine</w:t>
      </w:r>
    </w:p>
    <w:p w14:paraId="3AC2AB69" w14:textId="77777777" w:rsidR="00010815" w:rsidRPr="005767EF" w:rsidRDefault="00010815" w:rsidP="00010815">
      <w:pPr>
        <w:autoSpaceDE w:val="0"/>
        <w:autoSpaceDN w:val="0"/>
        <w:adjustRightInd w:val="0"/>
        <w:jc w:val="center"/>
        <w:rPr>
          <w:rFonts w:asciiTheme="minorHAnsi" w:eastAsiaTheme="minorHAnsi" w:hAnsiTheme="minorHAnsi"/>
          <w:color w:val="auto"/>
          <w:sz w:val="20"/>
          <w:szCs w:val="20"/>
          <w:lang w:eastAsia="en-US"/>
        </w:rPr>
      </w:pPr>
    </w:p>
    <w:p w14:paraId="5936A805" w14:textId="77777777" w:rsidR="00010815" w:rsidRPr="005767EF" w:rsidRDefault="00010815" w:rsidP="003D2212">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eastAsia="en-US"/>
        </w:rPr>
        <w:t xml:space="preserve">                                                                                                                                                                              </w:t>
      </w:r>
      <w:r w:rsidR="003D2212" w:rsidRPr="005767EF">
        <w:rPr>
          <w:rFonts w:asciiTheme="minorHAnsi" w:eastAsiaTheme="minorHAnsi" w:hAnsiTheme="minorHAnsi"/>
          <w:b/>
          <w:color w:val="auto"/>
          <w:sz w:val="20"/>
          <w:szCs w:val="20"/>
          <w:lang w:eastAsia="en-US"/>
        </w:rPr>
        <w:t>Tabela 4</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7"/>
        <w:gridCol w:w="1075"/>
        <w:gridCol w:w="1389"/>
        <w:gridCol w:w="1408"/>
      </w:tblGrid>
      <w:tr w:rsidR="00010815" w:rsidRPr="005767EF" w14:paraId="34175B7D" w14:textId="77777777" w:rsidTr="00F75B3A">
        <w:trPr>
          <w:trHeight w:val="606"/>
        </w:trPr>
        <w:tc>
          <w:tcPr>
            <w:tcW w:w="4925" w:type="dxa"/>
            <w:shd w:val="clear" w:color="auto" w:fill="8DB3E2" w:themeFill="text2" w:themeFillTint="66"/>
            <w:vAlign w:val="center"/>
            <w:hideMark/>
          </w:tcPr>
          <w:p w14:paraId="20D8AF98" w14:textId="77777777" w:rsidR="00010815" w:rsidRPr="005767EF" w:rsidRDefault="00000520" w:rsidP="00E46092">
            <w:pPr>
              <w:jc w:val="center"/>
              <w:rPr>
                <w:rFonts w:asciiTheme="minorHAnsi" w:hAnsiTheme="minorHAnsi"/>
                <w:b/>
                <w:sz w:val="20"/>
                <w:szCs w:val="20"/>
                <w:lang w:val="sr-Latn-RS" w:eastAsia="sr-Latn-RS"/>
              </w:rPr>
            </w:pPr>
            <w:r>
              <w:rPr>
                <w:rFonts w:asciiTheme="minorHAnsi" w:hAnsiTheme="minorHAnsi"/>
                <w:b/>
                <w:sz w:val="20"/>
                <w:szCs w:val="20"/>
                <w:lang w:eastAsia="sr-Latn-RS"/>
              </w:rPr>
              <w:t>Grad/opština</w:t>
            </w:r>
          </w:p>
        </w:tc>
        <w:tc>
          <w:tcPr>
            <w:tcW w:w="1075" w:type="dxa"/>
            <w:shd w:val="clear" w:color="auto" w:fill="8DB3E2" w:themeFill="text2" w:themeFillTint="66"/>
            <w:vAlign w:val="center"/>
          </w:tcPr>
          <w:p w14:paraId="33D523A6" w14:textId="77777777" w:rsidR="00010815" w:rsidRPr="005767EF" w:rsidRDefault="00010815" w:rsidP="00E46092">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Broj garancija</w:t>
            </w:r>
          </w:p>
        </w:tc>
        <w:tc>
          <w:tcPr>
            <w:tcW w:w="1381" w:type="dxa"/>
            <w:shd w:val="clear" w:color="auto" w:fill="8DB3E2" w:themeFill="text2" w:themeFillTint="66"/>
            <w:vAlign w:val="center"/>
          </w:tcPr>
          <w:p w14:paraId="12C57172" w14:textId="77777777" w:rsidR="00010815" w:rsidRPr="005767EF" w:rsidRDefault="00010815" w:rsidP="00E46092">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Iznos kredita</w:t>
            </w:r>
          </w:p>
        </w:tc>
        <w:tc>
          <w:tcPr>
            <w:tcW w:w="1408" w:type="dxa"/>
            <w:shd w:val="clear" w:color="auto" w:fill="8DB3E2" w:themeFill="text2" w:themeFillTint="66"/>
            <w:vAlign w:val="center"/>
            <w:hideMark/>
          </w:tcPr>
          <w:p w14:paraId="3B9DE999" w14:textId="77777777" w:rsidR="00010815" w:rsidRPr="005767EF" w:rsidRDefault="00010815" w:rsidP="00E46092">
            <w:pPr>
              <w:jc w:val="center"/>
              <w:rPr>
                <w:rFonts w:asciiTheme="minorHAnsi" w:hAnsiTheme="minorHAnsi"/>
                <w:b/>
                <w:sz w:val="20"/>
                <w:szCs w:val="20"/>
                <w:lang w:val="sr-Latn-RS" w:eastAsia="sr-Latn-RS"/>
              </w:rPr>
            </w:pPr>
            <w:r w:rsidRPr="005767EF">
              <w:rPr>
                <w:rFonts w:asciiTheme="minorHAnsi" w:hAnsiTheme="minorHAnsi"/>
                <w:b/>
                <w:sz w:val="20"/>
                <w:szCs w:val="20"/>
                <w:lang w:eastAsia="sr-Latn-RS"/>
              </w:rPr>
              <w:t>Iznos garancije</w:t>
            </w:r>
          </w:p>
        </w:tc>
      </w:tr>
      <w:tr w:rsidR="00010815" w:rsidRPr="005767EF" w14:paraId="6C11FE06" w14:textId="77777777" w:rsidTr="00F75B3A">
        <w:trPr>
          <w:trHeight w:val="219"/>
        </w:trPr>
        <w:tc>
          <w:tcPr>
            <w:tcW w:w="4925" w:type="dxa"/>
            <w:shd w:val="clear" w:color="000000" w:fill="FFFFFF"/>
            <w:hideMark/>
          </w:tcPr>
          <w:p w14:paraId="7F1D9A21" w14:textId="77777777" w:rsidR="00010815" w:rsidRPr="005767EF" w:rsidRDefault="00010815" w:rsidP="00E46092">
            <w:pPr>
              <w:rPr>
                <w:rFonts w:asciiTheme="minorHAnsi" w:hAnsiTheme="minorHAnsi"/>
                <w:sz w:val="20"/>
                <w:szCs w:val="20"/>
                <w:lang w:val="sr-Latn-RS" w:eastAsia="sr-Latn-RS"/>
              </w:rPr>
            </w:pPr>
            <w:r w:rsidRPr="005767EF">
              <w:rPr>
                <w:rFonts w:asciiTheme="minorHAnsi" w:hAnsiTheme="minorHAnsi"/>
                <w:sz w:val="20"/>
                <w:szCs w:val="20"/>
                <w:lang w:eastAsia="sr-Latn-RS"/>
              </w:rPr>
              <w:t xml:space="preserve">Banja Luka  </w:t>
            </w:r>
          </w:p>
        </w:tc>
        <w:tc>
          <w:tcPr>
            <w:tcW w:w="1075" w:type="dxa"/>
            <w:shd w:val="clear" w:color="000000" w:fill="FFFFFF"/>
            <w:hideMark/>
          </w:tcPr>
          <w:p w14:paraId="2DAEEE62"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1381" w:type="dxa"/>
            <w:shd w:val="clear" w:color="000000" w:fill="FFFFFF"/>
            <w:hideMark/>
          </w:tcPr>
          <w:p w14:paraId="2AFBEBF6"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110.000,00</w:t>
            </w:r>
          </w:p>
        </w:tc>
        <w:tc>
          <w:tcPr>
            <w:tcW w:w="1408" w:type="dxa"/>
            <w:shd w:val="clear" w:color="000000" w:fill="FFFFFF"/>
            <w:hideMark/>
          </w:tcPr>
          <w:p w14:paraId="1D98055A"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55.000,00</w:t>
            </w:r>
          </w:p>
        </w:tc>
      </w:tr>
      <w:tr w:rsidR="00010815" w:rsidRPr="005767EF" w14:paraId="3A0460AC" w14:textId="77777777" w:rsidTr="00F75B3A">
        <w:trPr>
          <w:trHeight w:val="219"/>
        </w:trPr>
        <w:tc>
          <w:tcPr>
            <w:tcW w:w="4925" w:type="dxa"/>
            <w:shd w:val="clear" w:color="000000" w:fill="FFFFFF"/>
            <w:hideMark/>
          </w:tcPr>
          <w:p w14:paraId="094B0C17" w14:textId="77777777" w:rsidR="00010815" w:rsidRPr="005767EF" w:rsidRDefault="00010815" w:rsidP="00E46092">
            <w:pPr>
              <w:rPr>
                <w:rFonts w:asciiTheme="minorHAnsi" w:hAnsiTheme="minorHAnsi"/>
                <w:sz w:val="20"/>
                <w:szCs w:val="20"/>
                <w:lang w:val="sr-Latn-RS" w:eastAsia="sr-Latn-RS"/>
              </w:rPr>
            </w:pPr>
            <w:r w:rsidRPr="005767EF">
              <w:rPr>
                <w:rFonts w:asciiTheme="minorHAnsi" w:hAnsiTheme="minorHAnsi"/>
                <w:sz w:val="20"/>
                <w:szCs w:val="20"/>
                <w:lang w:eastAsia="sr-Latn-RS"/>
              </w:rPr>
              <w:t xml:space="preserve">Kozarska Dubica  </w:t>
            </w:r>
          </w:p>
        </w:tc>
        <w:tc>
          <w:tcPr>
            <w:tcW w:w="1075" w:type="dxa"/>
            <w:shd w:val="clear" w:color="000000" w:fill="FFFFFF"/>
            <w:hideMark/>
          </w:tcPr>
          <w:p w14:paraId="1F1B9504" w14:textId="77777777" w:rsidR="00010815" w:rsidRPr="005767EF" w:rsidRDefault="00010815" w:rsidP="003D2212">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w:t>
            </w:r>
          </w:p>
        </w:tc>
        <w:tc>
          <w:tcPr>
            <w:tcW w:w="1381" w:type="dxa"/>
            <w:shd w:val="clear" w:color="000000" w:fill="FFFFFF"/>
            <w:hideMark/>
          </w:tcPr>
          <w:p w14:paraId="003078F3"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350.000,00</w:t>
            </w:r>
          </w:p>
        </w:tc>
        <w:tc>
          <w:tcPr>
            <w:tcW w:w="1408" w:type="dxa"/>
            <w:shd w:val="clear" w:color="000000" w:fill="FFFFFF"/>
            <w:hideMark/>
          </w:tcPr>
          <w:p w14:paraId="5E9CA21F"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175.000,00</w:t>
            </w:r>
          </w:p>
        </w:tc>
      </w:tr>
      <w:tr w:rsidR="00010815" w:rsidRPr="005767EF" w14:paraId="77777678" w14:textId="77777777" w:rsidTr="00F75B3A">
        <w:trPr>
          <w:trHeight w:val="219"/>
        </w:trPr>
        <w:tc>
          <w:tcPr>
            <w:tcW w:w="4925" w:type="dxa"/>
            <w:shd w:val="clear" w:color="000000" w:fill="FFFFFF"/>
            <w:hideMark/>
          </w:tcPr>
          <w:p w14:paraId="54FD6D71" w14:textId="5E9B3060" w:rsidR="00010815" w:rsidRPr="005767EF" w:rsidRDefault="00D13A27" w:rsidP="003D2212">
            <w:pPr>
              <w:rPr>
                <w:rFonts w:asciiTheme="minorHAnsi" w:hAnsiTheme="minorHAnsi"/>
                <w:sz w:val="20"/>
                <w:szCs w:val="20"/>
                <w:lang w:val="sr-Latn-RS" w:eastAsia="sr-Latn-RS"/>
              </w:rPr>
            </w:pPr>
            <w:r>
              <w:rPr>
                <w:rFonts w:asciiTheme="minorHAnsi" w:hAnsiTheme="minorHAnsi"/>
                <w:sz w:val="20"/>
                <w:szCs w:val="20"/>
                <w:lang w:val="sr-Latn-RS" w:eastAsia="sr-Latn-RS"/>
              </w:rPr>
              <w:t>Lopare</w:t>
            </w:r>
          </w:p>
        </w:tc>
        <w:tc>
          <w:tcPr>
            <w:tcW w:w="1075" w:type="dxa"/>
            <w:shd w:val="clear" w:color="000000" w:fill="FFFFFF"/>
            <w:hideMark/>
          </w:tcPr>
          <w:p w14:paraId="195C626B"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1381" w:type="dxa"/>
            <w:shd w:val="clear" w:color="000000" w:fill="FFFFFF"/>
            <w:hideMark/>
          </w:tcPr>
          <w:p w14:paraId="08385899" w14:textId="77777777" w:rsidR="00010815" w:rsidRPr="005767EF" w:rsidRDefault="00010815"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300.000,00</w:t>
            </w:r>
          </w:p>
        </w:tc>
        <w:tc>
          <w:tcPr>
            <w:tcW w:w="1408" w:type="dxa"/>
            <w:shd w:val="clear" w:color="000000" w:fill="FFFFFF"/>
            <w:hideMark/>
          </w:tcPr>
          <w:p w14:paraId="74ABA21F"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140.610,00</w:t>
            </w:r>
          </w:p>
        </w:tc>
      </w:tr>
      <w:tr w:rsidR="003D2212" w:rsidRPr="005767EF" w14:paraId="2C7824F9" w14:textId="77777777" w:rsidTr="00F75B3A">
        <w:trPr>
          <w:trHeight w:val="219"/>
        </w:trPr>
        <w:tc>
          <w:tcPr>
            <w:tcW w:w="4925" w:type="dxa"/>
            <w:shd w:val="clear" w:color="000000" w:fill="FFFFFF"/>
          </w:tcPr>
          <w:p w14:paraId="3D08D97F" w14:textId="27940FF2" w:rsidR="003D2212" w:rsidRPr="005767EF" w:rsidRDefault="00D13A27" w:rsidP="003D2212">
            <w:pPr>
              <w:rPr>
                <w:rFonts w:asciiTheme="minorHAnsi" w:hAnsiTheme="minorHAnsi"/>
                <w:sz w:val="20"/>
                <w:szCs w:val="20"/>
                <w:lang w:val="sr-Cyrl-RS" w:eastAsia="sr-Latn-RS"/>
              </w:rPr>
            </w:pPr>
            <w:r>
              <w:rPr>
                <w:rFonts w:asciiTheme="minorHAnsi" w:hAnsiTheme="minorHAnsi"/>
                <w:sz w:val="20"/>
                <w:szCs w:val="20"/>
                <w:lang w:val="sr-Cyrl-RS" w:eastAsia="sr-Latn-RS"/>
              </w:rPr>
              <w:t>Modriča</w:t>
            </w:r>
          </w:p>
        </w:tc>
        <w:tc>
          <w:tcPr>
            <w:tcW w:w="1075" w:type="dxa"/>
            <w:shd w:val="clear" w:color="000000" w:fill="FFFFFF"/>
          </w:tcPr>
          <w:p w14:paraId="178CB960" w14:textId="77777777" w:rsidR="003D2212"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1381" w:type="dxa"/>
            <w:shd w:val="clear" w:color="000000" w:fill="FFFFFF"/>
          </w:tcPr>
          <w:p w14:paraId="0CB0625B" w14:textId="77777777" w:rsidR="003D2212"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2.200.000,00</w:t>
            </w:r>
          </w:p>
        </w:tc>
        <w:tc>
          <w:tcPr>
            <w:tcW w:w="1408" w:type="dxa"/>
            <w:shd w:val="clear" w:color="000000" w:fill="FFFFFF"/>
          </w:tcPr>
          <w:p w14:paraId="65BA05AA" w14:textId="77777777" w:rsidR="003D2212"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1.100.000,00</w:t>
            </w:r>
          </w:p>
        </w:tc>
      </w:tr>
      <w:tr w:rsidR="00010815" w:rsidRPr="005767EF" w14:paraId="6673812E" w14:textId="77777777" w:rsidTr="00F75B3A">
        <w:trPr>
          <w:trHeight w:val="219"/>
        </w:trPr>
        <w:tc>
          <w:tcPr>
            <w:tcW w:w="4925" w:type="dxa"/>
            <w:shd w:val="clear" w:color="000000" w:fill="FFFFFF"/>
            <w:hideMark/>
          </w:tcPr>
          <w:p w14:paraId="182F329C" w14:textId="1AEB46B8" w:rsidR="00010815" w:rsidRPr="005767EF" w:rsidRDefault="00D13A27" w:rsidP="003D2212">
            <w:pPr>
              <w:rPr>
                <w:rFonts w:asciiTheme="minorHAnsi" w:hAnsiTheme="minorHAnsi"/>
                <w:sz w:val="20"/>
                <w:szCs w:val="20"/>
                <w:lang w:val="sr-Latn-RS" w:eastAsia="sr-Latn-RS"/>
              </w:rPr>
            </w:pPr>
            <w:r>
              <w:rPr>
                <w:rFonts w:asciiTheme="minorHAnsi" w:hAnsiTheme="minorHAnsi"/>
                <w:sz w:val="20"/>
                <w:szCs w:val="20"/>
                <w:lang w:val="sr-Latn-RS" w:eastAsia="sr-Latn-RS"/>
              </w:rPr>
              <w:t>Pale</w:t>
            </w:r>
          </w:p>
        </w:tc>
        <w:tc>
          <w:tcPr>
            <w:tcW w:w="1075" w:type="dxa"/>
            <w:shd w:val="clear" w:color="000000" w:fill="FFFFFF"/>
            <w:hideMark/>
          </w:tcPr>
          <w:p w14:paraId="65B54F74"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1381" w:type="dxa"/>
            <w:shd w:val="clear" w:color="000000" w:fill="FFFFFF"/>
            <w:hideMark/>
          </w:tcPr>
          <w:p w14:paraId="77B60B99"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15.000.000,00</w:t>
            </w:r>
          </w:p>
        </w:tc>
        <w:tc>
          <w:tcPr>
            <w:tcW w:w="1408" w:type="dxa"/>
            <w:shd w:val="clear" w:color="000000" w:fill="FFFFFF"/>
            <w:hideMark/>
          </w:tcPr>
          <w:p w14:paraId="1DE7F375"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1.500.000,00</w:t>
            </w:r>
          </w:p>
        </w:tc>
      </w:tr>
      <w:tr w:rsidR="00010815" w:rsidRPr="005767EF" w14:paraId="70C6AF82" w14:textId="77777777" w:rsidTr="00F75B3A">
        <w:trPr>
          <w:trHeight w:val="219"/>
        </w:trPr>
        <w:tc>
          <w:tcPr>
            <w:tcW w:w="4925" w:type="dxa"/>
            <w:shd w:val="clear" w:color="000000" w:fill="FFFFFF"/>
            <w:hideMark/>
          </w:tcPr>
          <w:p w14:paraId="782FABF5" w14:textId="314BD7F3" w:rsidR="00010815" w:rsidRPr="005767EF" w:rsidRDefault="00D13A27" w:rsidP="003D2212">
            <w:pPr>
              <w:rPr>
                <w:rFonts w:asciiTheme="minorHAnsi" w:hAnsiTheme="minorHAnsi"/>
                <w:sz w:val="20"/>
                <w:szCs w:val="20"/>
                <w:lang w:val="sr-Cyrl-RS" w:eastAsia="sr-Latn-RS"/>
              </w:rPr>
            </w:pPr>
            <w:r>
              <w:rPr>
                <w:rFonts w:asciiTheme="minorHAnsi" w:hAnsiTheme="minorHAnsi"/>
                <w:sz w:val="20"/>
                <w:szCs w:val="20"/>
                <w:lang w:val="sr-Cyrl-RS" w:eastAsia="sr-Latn-RS"/>
              </w:rPr>
              <w:t>Pelagićevo</w:t>
            </w:r>
          </w:p>
        </w:tc>
        <w:tc>
          <w:tcPr>
            <w:tcW w:w="1075" w:type="dxa"/>
            <w:shd w:val="clear" w:color="000000" w:fill="FFFFFF"/>
            <w:hideMark/>
          </w:tcPr>
          <w:p w14:paraId="57E4C592"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1381" w:type="dxa"/>
            <w:shd w:val="clear" w:color="000000" w:fill="FFFFFF"/>
            <w:hideMark/>
          </w:tcPr>
          <w:p w14:paraId="7E7C5DB5"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3.800.000,00</w:t>
            </w:r>
          </w:p>
        </w:tc>
        <w:tc>
          <w:tcPr>
            <w:tcW w:w="1408" w:type="dxa"/>
            <w:shd w:val="clear" w:color="000000" w:fill="FFFFFF"/>
            <w:hideMark/>
          </w:tcPr>
          <w:p w14:paraId="0423E9A2" w14:textId="77777777" w:rsidR="00010815" w:rsidRPr="005767EF" w:rsidRDefault="003D2212" w:rsidP="00E460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1.500.000,00</w:t>
            </w:r>
          </w:p>
        </w:tc>
      </w:tr>
      <w:tr w:rsidR="00010815" w:rsidRPr="005767EF" w14:paraId="5E3839F7" w14:textId="77777777" w:rsidTr="00F75B3A">
        <w:trPr>
          <w:trHeight w:val="219"/>
        </w:trPr>
        <w:tc>
          <w:tcPr>
            <w:tcW w:w="4925" w:type="dxa"/>
            <w:shd w:val="clear" w:color="000000" w:fill="FFFFFF"/>
            <w:hideMark/>
          </w:tcPr>
          <w:p w14:paraId="11480F42" w14:textId="569A0FB8" w:rsidR="00010815" w:rsidRPr="005767EF" w:rsidRDefault="00D13A27" w:rsidP="00E46092">
            <w:pPr>
              <w:rPr>
                <w:rFonts w:asciiTheme="minorHAnsi" w:hAnsiTheme="minorHAnsi"/>
                <w:sz w:val="20"/>
                <w:szCs w:val="20"/>
                <w:lang w:val="sr-Latn-RS" w:eastAsia="sr-Latn-RS"/>
              </w:rPr>
            </w:pPr>
            <w:r>
              <w:rPr>
                <w:rFonts w:asciiTheme="minorHAnsi" w:hAnsiTheme="minorHAnsi"/>
                <w:sz w:val="20"/>
                <w:szCs w:val="20"/>
                <w:lang w:val="sr-Latn-RS" w:eastAsia="sr-Latn-RS"/>
              </w:rPr>
              <w:t>Sokolac</w:t>
            </w:r>
          </w:p>
        </w:tc>
        <w:tc>
          <w:tcPr>
            <w:tcW w:w="1075" w:type="dxa"/>
            <w:shd w:val="clear" w:color="000000" w:fill="FFFFFF"/>
            <w:hideMark/>
          </w:tcPr>
          <w:p w14:paraId="147E025D" w14:textId="77777777" w:rsidR="00010815" w:rsidRPr="005767EF" w:rsidRDefault="003D2212" w:rsidP="003D2212">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1381" w:type="dxa"/>
            <w:shd w:val="clear" w:color="000000" w:fill="FFFFFF"/>
            <w:hideMark/>
          </w:tcPr>
          <w:p w14:paraId="412D63C8"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1.500.000,00</w:t>
            </w:r>
          </w:p>
        </w:tc>
        <w:tc>
          <w:tcPr>
            <w:tcW w:w="1408" w:type="dxa"/>
            <w:shd w:val="clear" w:color="000000" w:fill="FFFFFF"/>
            <w:hideMark/>
          </w:tcPr>
          <w:p w14:paraId="0559B9C4"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249.900,00</w:t>
            </w:r>
          </w:p>
        </w:tc>
      </w:tr>
      <w:tr w:rsidR="00010815" w:rsidRPr="005767EF" w14:paraId="11444537" w14:textId="77777777" w:rsidTr="00F75B3A">
        <w:trPr>
          <w:trHeight w:val="219"/>
        </w:trPr>
        <w:tc>
          <w:tcPr>
            <w:tcW w:w="4925" w:type="dxa"/>
            <w:shd w:val="clear" w:color="000000" w:fill="FFFFFF"/>
            <w:hideMark/>
          </w:tcPr>
          <w:p w14:paraId="2E14A78D" w14:textId="646B32FF" w:rsidR="00010815" w:rsidRPr="005767EF" w:rsidRDefault="003D2212" w:rsidP="003D2212">
            <w:pPr>
              <w:rPr>
                <w:rFonts w:asciiTheme="minorHAnsi" w:hAnsiTheme="minorHAnsi"/>
                <w:sz w:val="20"/>
                <w:szCs w:val="20"/>
                <w:lang w:val="sr-Latn-RS" w:eastAsia="sr-Latn-RS"/>
              </w:rPr>
            </w:pPr>
            <w:r w:rsidRPr="005767EF">
              <w:rPr>
                <w:rFonts w:asciiTheme="minorHAnsi" w:hAnsiTheme="minorHAnsi"/>
                <w:sz w:val="20"/>
                <w:szCs w:val="20"/>
                <w:lang w:eastAsia="sr-Latn-RS"/>
              </w:rPr>
              <w:t>Т</w:t>
            </w:r>
            <w:r w:rsidR="00E72BA2">
              <w:rPr>
                <w:rFonts w:asciiTheme="minorHAnsi" w:hAnsiTheme="minorHAnsi"/>
                <w:sz w:val="20"/>
                <w:szCs w:val="20"/>
                <w:lang w:eastAsia="sr-Latn-RS"/>
              </w:rPr>
              <w:t>rebinje</w:t>
            </w:r>
          </w:p>
        </w:tc>
        <w:tc>
          <w:tcPr>
            <w:tcW w:w="1075" w:type="dxa"/>
            <w:shd w:val="clear" w:color="000000" w:fill="FFFFFF"/>
            <w:hideMark/>
          </w:tcPr>
          <w:p w14:paraId="696C987F" w14:textId="77777777" w:rsidR="00010815" w:rsidRPr="005767EF" w:rsidRDefault="00010815" w:rsidP="003D2212">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w:t>
            </w:r>
          </w:p>
        </w:tc>
        <w:tc>
          <w:tcPr>
            <w:tcW w:w="1381" w:type="dxa"/>
            <w:shd w:val="clear" w:color="000000" w:fill="FFFFFF"/>
            <w:hideMark/>
          </w:tcPr>
          <w:p w14:paraId="06233CE5"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2.500.000,00</w:t>
            </w:r>
          </w:p>
        </w:tc>
        <w:tc>
          <w:tcPr>
            <w:tcW w:w="1408" w:type="dxa"/>
            <w:shd w:val="clear" w:color="000000" w:fill="FFFFFF"/>
            <w:hideMark/>
          </w:tcPr>
          <w:p w14:paraId="10E3E13B" w14:textId="77777777" w:rsidR="00010815" w:rsidRPr="005767EF" w:rsidRDefault="003D2212" w:rsidP="00E460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749.750,00</w:t>
            </w:r>
          </w:p>
        </w:tc>
      </w:tr>
      <w:tr w:rsidR="003D2212" w:rsidRPr="005767EF" w14:paraId="5CD3933F" w14:textId="77777777" w:rsidTr="00F75B3A">
        <w:trPr>
          <w:trHeight w:val="273"/>
        </w:trPr>
        <w:tc>
          <w:tcPr>
            <w:tcW w:w="4925" w:type="dxa"/>
            <w:shd w:val="clear" w:color="auto" w:fill="8DB3E2" w:themeFill="text2" w:themeFillTint="66"/>
            <w:hideMark/>
          </w:tcPr>
          <w:p w14:paraId="03200BFA" w14:textId="7BD238FD" w:rsidR="003D2212" w:rsidRPr="005767EF" w:rsidRDefault="00D13A27" w:rsidP="003D2212">
            <w:pPr>
              <w:jc w:val="center"/>
              <w:rPr>
                <w:rFonts w:asciiTheme="minorHAnsi" w:hAnsiTheme="minorHAnsi"/>
                <w:b/>
                <w:sz w:val="20"/>
                <w:szCs w:val="20"/>
                <w:lang w:val="sr-Cyrl-RS" w:eastAsia="sr-Latn-RS"/>
              </w:rPr>
            </w:pPr>
            <w:r>
              <w:rPr>
                <w:rFonts w:asciiTheme="minorHAnsi" w:hAnsiTheme="minorHAnsi"/>
                <w:b/>
                <w:sz w:val="20"/>
                <w:szCs w:val="20"/>
                <w:lang w:val="sr-Cyrl-RS" w:eastAsia="sr-Latn-RS"/>
              </w:rPr>
              <w:t>UKUPNO</w:t>
            </w:r>
          </w:p>
        </w:tc>
        <w:tc>
          <w:tcPr>
            <w:tcW w:w="1075" w:type="dxa"/>
            <w:shd w:val="clear" w:color="auto" w:fill="8DB3E2" w:themeFill="text2" w:themeFillTint="66"/>
            <w:hideMark/>
          </w:tcPr>
          <w:p w14:paraId="7F7823BF" w14:textId="77777777" w:rsidR="003D2212" w:rsidRPr="005767EF" w:rsidRDefault="003B2F4F" w:rsidP="003D2212">
            <w:pPr>
              <w:jc w:val="center"/>
              <w:rPr>
                <w:rFonts w:asciiTheme="minorHAnsi" w:hAnsiTheme="minorHAnsi"/>
                <w:b/>
                <w:sz w:val="20"/>
                <w:szCs w:val="20"/>
                <w:lang w:val="sr-Cyrl-RS" w:eastAsia="sr-Latn-RS"/>
              </w:rPr>
            </w:pPr>
            <w:r>
              <w:rPr>
                <w:rFonts w:asciiTheme="minorHAnsi" w:hAnsiTheme="minorHAnsi"/>
                <w:b/>
                <w:sz w:val="20"/>
                <w:szCs w:val="20"/>
                <w:lang w:eastAsia="sr-Latn-RS"/>
              </w:rPr>
              <w:t>8</w:t>
            </w:r>
          </w:p>
        </w:tc>
        <w:tc>
          <w:tcPr>
            <w:tcW w:w="1381" w:type="dxa"/>
            <w:shd w:val="clear" w:color="auto" w:fill="8DB3E2" w:themeFill="text2" w:themeFillTint="66"/>
            <w:hideMark/>
          </w:tcPr>
          <w:p w14:paraId="3F0063DB" w14:textId="77777777" w:rsidR="003D2212" w:rsidRPr="005767EF" w:rsidRDefault="003D2212" w:rsidP="00F75B3A">
            <w:pPr>
              <w:ind w:right="-106"/>
              <w:jc w:val="left"/>
              <w:rPr>
                <w:rFonts w:asciiTheme="minorHAnsi" w:hAnsiTheme="minorHAnsi"/>
                <w:b/>
                <w:sz w:val="20"/>
                <w:szCs w:val="20"/>
                <w:lang w:val="sr-Cyrl-RS" w:eastAsia="sr-Latn-RS"/>
              </w:rPr>
            </w:pPr>
            <w:r w:rsidRPr="005767EF">
              <w:rPr>
                <w:rFonts w:asciiTheme="minorHAnsi" w:hAnsiTheme="minorHAnsi"/>
                <w:b/>
                <w:sz w:val="20"/>
                <w:szCs w:val="20"/>
                <w:lang w:eastAsia="sr-Latn-RS"/>
              </w:rPr>
              <w:t>25.760.000,00</w:t>
            </w:r>
          </w:p>
        </w:tc>
        <w:tc>
          <w:tcPr>
            <w:tcW w:w="1408" w:type="dxa"/>
            <w:shd w:val="clear" w:color="auto" w:fill="8DB3E2" w:themeFill="text2" w:themeFillTint="66"/>
            <w:hideMark/>
          </w:tcPr>
          <w:p w14:paraId="0D0390B8" w14:textId="77777777" w:rsidR="003D2212" w:rsidRPr="005767EF" w:rsidRDefault="00F75B3A" w:rsidP="003D2212">
            <w:pPr>
              <w:jc w:val="right"/>
              <w:rPr>
                <w:rFonts w:asciiTheme="minorHAnsi" w:hAnsiTheme="minorHAnsi"/>
                <w:b/>
                <w:sz w:val="20"/>
                <w:szCs w:val="20"/>
                <w:lang w:val="sr-Cyrl-RS" w:eastAsia="sr-Latn-RS"/>
              </w:rPr>
            </w:pPr>
            <w:r>
              <w:rPr>
                <w:rFonts w:asciiTheme="minorHAnsi" w:hAnsiTheme="minorHAnsi"/>
                <w:b/>
                <w:sz w:val="20"/>
                <w:szCs w:val="20"/>
                <w:lang w:eastAsia="sr-Latn-RS"/>
              </w:rPr>
              <w:t>5.470.260,00</w:t>
            </w:r>
          </w:p>
        </w:tc>
      </w:tr>
    </w:tbl>
    <w:p w14:paraId="3BC4BEC4" w14:textId="77777777" w:rsidR="00010815" w:rsidRPr="005767EF" w:rsidRDefault="00010815" w:rsidP="00010815">
      <w:pPr>
        <w:autoSpaceDE w:val="0"/>
        <w:autoSpaceDN w:val="0"/>
        <w:adjustRightInd w:val="0"/>
        <w:rPr>
          <w:rFonts w:asciiTheme="minorHAnsi" w:eastAsiaTheme="minorHAnsi" w:hAnsiTheme="minorHAnsi"/>
          <w:color w:val="auto"/>
          <w:sz w:val="20"/>
          <w:szCs w:val="20"/>
          <w:lang w:val="sr-Latn-BA" w:eastAsia="en-US"/>
        </w:rPr>
      </w:pPr>
    </w:p>
    <w:p w14:paraId="05D727BE" w14:textId="77777777" w:rsidR="00F75B3A" w:rsidRPr="00444987" w:rsidRDefault="00451648" w:rsidP="00947FBF">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eastAsia="en-US"/>
        </w:rPr>
        <w:t>Tokom 2023. godine, izdane su garancije privrednim društvima registrovanim u 2 grada i 6 opština Republike Srpske.</w:t>
      </w:r>
    </w:p>
    <w:p w14:paraId="2A1C62E4" w14:textId="77777777" w:rsidR="00947FBF" w:rsidRDefault="00947FBF" w:rsidP="00947FBF">
      <w:pPr>
        <w:autoSpaceDE w:val="0"/>
        <w:autoSpaceDN w:val="0"/>
        <w:adjustRightInd w:val="0"/>
        <w:rPr>
          <w:rFonts w:asciiTheme="minorHAnsi" w:eastAsiaTheme="minorHAnsi" w:hAnsiTheme="minorHAnsi"/>
          <w:b/>
          <w:bCs/>
          <w:color w:val="auto"/>
          <w:sz w:val="20"/>
          <w:szCs w:val="20"/>
          <w:lang w:val="sr-Cyrl-RS" w:eastAsia="en-US"/>
        </w:rPr>
      </w:pPr>
    </w:p>
    <w:p w14:paraId="1E0A8784" w14:textId="77777777" w:rsidR="001538EF" w:rsidRPr="005767EF" w:rsidRDefault="001538EF" w:rsidP="001538EF">
      <w:pPr>
        <w:autoSpaceDE w:val="0"/>
        <w:autoSpaceDN w:val="0"/>
        <w:adjustRightInd w:val="0"/>
        <w:jc w:val="center"/>
        <w:rPr>
          <w:rFonts w:asciiTheme="minorHAnsi" w:eastAsiaTheme="minorHAnsi" w:hAnsiTheme="minorHAnsi"/>
          <w:b/>
          <w:bCs/>
          <w:color w:val="auto"/>
          <w:sz w:val="20"/>
          <w:szCs w:val="20"/>
          <w:lang w:val="sr-Latn-RS" w:eastAsia="en-US"/>
        </w:rPr>
      </w:pPr>
      <w:r w:rsidRPr="005767EF">
        <w:rPr>
          <w:rFonts w:asciiTheme="minorHAnsi" w:eastAsiaTheme="minorHAnsi" w:hAnsiTheme="minorHAnsi"/>
          <w:b/>
          <w:bCs/>
          <w:color w:val="auto"/>
          <w:sz w:val="20"/>
          <w:szCs w:val="20"/>
          <w:lang w:eastAsia="en-US"/>
        </w:rPr>
        <w:t>Pregled garancija van snage u periodu 01.01.2023. - 31.12.2023. godine</w:t>
      </w:r>
    </w:p>
    <w:p w14:paraId="14FD9FC2" w14:textId="77777777" w:rsidR="001538EF" w:rsidRPr="005767EF" w:rsidRDefault="001538EF" w:rsidP="001538EF">
      <w:pPr>
        <w:autoSpaceDE w:val="0"/>
        <w:autoSpaceDN w:val="0"/>
        <w:adjustRightInd w:val="0"/>
        <w:jc w:val="center"/>
        <w:rPr>
          <w:rFonts w:asciiTheme="minorHAnsi" w:eastAsiaTheme="minorHAnsi" w:hAnsiTheme="minorHAnsi"/>
          <w:b/>
          <w:bCs/>
          <w:color w:val="auto"/>
          <w:sz w:val="20"/>
          <w:szCs w:val="20"/>
          <w:lang w:val="sr-Latn-RS" w:eastAsia="en-US"/>
        </w:rPr>
      </w:pPr>
    </w:p>
    <w:p w14:paraId="60E68FEB" w14:textId="77777777" w:rsidR="00900F10" w:rsidRPr="00900F10" w:rsidRDefault="001538EF" w:rsidP="00900F10">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t xml:space="preserve">                    </w:t>
      </w:r>
      <w:r w:rsidR="00C741B4">
        <w:rPr>
          <w:rFonts w:asciiTheme="minorHAnsi" w:eastAsiaTheme="minorHAnsi" w:hAnsiTheme="minorHAnsi"/>
          <w:b/>
          <w:color w:val="auto"/>
          <w:sz w:val="20"/>
          <w:szCs w:val="20"/>
          <w:lang w:eastAsia="en-US"/>
        </w:rPr>
        <w:t>Tabela 5</w:t>
      </w:r>
      <w:r w:rsidR="00900F10">
        <w:rPr>
          <w:rFonts w:eastAsiaTheme="minorHAnsi"/>
          <w:lang w:eastAsia="en-US"/>
        </w:rPr>
        <w:fldChar w:fldCharType="begin"/>
      </w:r>
      <w:r w:rsidR="00900F10">
        <w:rPr>
          <w:rFonts w:eastAsiaTheme="minorHAnsi"/>
          <w:lang w:eastAsia="en-US"/>
        </w:rPr>
        <w:instrText xml:space="preserve"> LINK </w:instrText>
      </w:r>
      <w:r w:rsidR="000C6E09">
        <w:rPr>
          <w:rFonts w:eastAsiaTheme="minorHAnsi"/>
          <w:lang w:eastAsia="en-US"/>
        </w:rPr>
        <w:instrText xml:space="preserve">Excel.Sheet.12 "\\\\NASSYNOLOGY\\OfflineRest\\radana.lukic\\Desktop\\Izvještaj o radu i poslovanju za 2023. godinu\\Book1.xlsx" "van snage!R3C2:R27C5" </w:instrText>
      </w:r>
      <w:r w:rsidR="00900F10">
        <w:rPr>
          <w:rFonts w:eastAsiaTheme="minorHAnsi"/>
          <w:lang w:eastAsia="en-US"/>
        </w:rPr>
        <w:instrText xml:space="preserve">\a \f 4 \h  \* MERGEFORMAT </w:instrText>
      </w:r>
      <w:r w:rsidR="00900F10">
        <w:rPr>
          <w:rFonts w:eastAsiaTheme="minorHAnsi"/>
          <w:lang w:eastAsia="en-US"/>
        </w:rPr>
        <w:fldChar w:fldCharType="separate"/>
      </w:r>
    </w:p>
    <w:tbl>
      <w:tblPr>
        <w:tblW w:w="8789" w:type="dxa"/>
        <w:tblInd w:w="108" w:type="dxa"/>
        <w:tblLook w:val="04A0" w:firstRow="1" w:lastRow="0" w:firstColumn="1" w:lastColumn="0" w:noHBand="0" w:noVBand="1"/>
      </w:tblPr>
      <w:tblGrid>
        <w:gridCol w:w="851"/>
        <w:gridCol w:w="3827"/>
        <w:gridCol w:w="2410"/>
        <w:gridCol w:w="1701"/>
      </w:tblGrid>
      <w:tr w:rsidR="00900F10" w:rsidRPr="00900F10" w14:paraId="365A3D32" w14:textId="77777777" w:rsidTr="00900F10">
        <w:trPr>
          <w:trHeight w:val="315"/>
        </w:trPr>
        <w:tc>
          <w:tcPr>
            <w:tcW w:w="851" w:type="dxa"/>
            <w:vMerge w:val="restart"/>
            <w:tcBorders>
              <w:top w:val="single" w:sz="4" w:space="0" w:color="auto"/>
              <w:left w:val="single" w:sz="4" w:space="0" w:color="auto"/>
              <w:bottom w:val="single" w:sz="4" w:space="0" w:color="auto"/>
              <w:right w:val="single" w:sz="4" w:space="0" w:color="auto"/>
            </w:tcBorders>
            <w:shd w:val="clear" w:color="000000" w:fill="548DD4"/>
            <w:vAlign w:val="center"/>
            <w:hideMark/>
          </w:tcPr>
          <w:p w14:paraId="082C1E4A" w14:textId="382923ED" w:rsidR="00F9654C" w:rsidRPr="00900F10" w:rsidRDefault="00F9654C" w:rsidP="00900F10">
            <w:pPr>
              <w:rPr>
                <w:rFonts w:ascii="Calibri" w:hAnsi="Calibri"/>
                <w:b/>
                <w:bCs/>
                <w:sz w:val="20"/>
                <w:szCs w:val="20"/>
              </w:rPr>
            </w:pPr>
            <w:r>
              <w:rPr>
                <w:rFonts w:ascii="Calibri" w:hAnsi="Calibri"/>
                <w:b/>
                <w:bCs/>
                <w:sz w:val="20"/>
                <w:szCs w:val="20"/>
              </w:rPr>
              <w:t>Redni broj</w:t>
            </w:r>
          </w:p>
        </w:tc>
        <w:tc>
          <w:tcPr>
            <w:tcW w:w="3827" w:type="dxa"/>
            <w:vMerge w:val="restart"/>
            <w:tcBorders>
              <w:top w:val="single" w:sz="4" w:space="0" w:color="auto"/>
              <w:left w:val="single" w:sz="4" w:space="0" w:color="auto"/>
              <w:bottom w:val="single" w:sz="4" w:space="0" w:color="auto"/>
              <w:right w:val="nil"/>
            </w:tcBorders>
            <w:shd w:val="clear" w:color="000000" w:fill="548DD4"/>
            <w:vAlign w:val="center"/>
            <w:hideMark/>
          </w:tcPr>
          <w:p w14:paraId="1F92B049" w14:textId="77777777" w:rsidR="00900F10" w:rsidRPr="00900F10" w:rsidRDefault="00900F10" w:rsidP="00900F10">
            <w:pPr>
              <w:jc w:val="center"/>
              <w:rPr>
                <w:rFonts w:ascii="Calibri" w:hAnsi="Calibri"/>
                <w:b/>
                <w:bCs/>
                <w:sz w:val="20"/>
                <w:szCs w:val="20"/>
              </w:rPr>
            </w:pPr>
            <w:r w:rsidRPr="00900F10">
              <w:rPr>
                <w:rFonts w:ascii="Calibri" w:hAnsi="Calibri"/>
                <w:b/>
                <w:bCs/>
                <w:sz w:val="20"/>
                <w:szCs w:val="20"/>
              </w:rPr>
              <w:t>Nalogodavac garancije</w:t>
            </w:r>
          </w:p>
        </w:tc>
        <w:tc>
          <w:tcPr>
            <w:tcW w:w="2410" w:type="dxa"/>
            <w:tcBorders>
              <w:top w:val="single" w:sz="4" w:space="0" w:color="auto"/>
              <w:left w:val="single" w:sz="4" w:space="0" w:color="auto"/>
              <w:bottom w:val="nil"/>
              <w:right w:val="nil"/>
            </w:tcBorders>
            <w:shd w:val="clear" w:color="000000" w:fill="548DD4"/>
            <w:vAlign w:val="center"/>
            <w:hideMark/>
          </w:tcPr>
          <w:p w14:paraId="5981AB39" w14:textId="4A054093" w:rsidR="00900F10" w:rsidRPr="00900F10" w:rsidRDefault="00F9654C" w:rsidP="00900F10">
            <w:pPr>
              <w:jc w:val="center"/>
              <w:rPr>
                <w:rFonts w:ascii="Calibri" w:hAnsi="Calibri"/>
                <w:b/>
                <w:bCs/>
                <w:sz w:val="20"/>
                <w:szCs w:val="20"/>
              </w:rPr>
            </w:pPr>
            <w:r>
              <w:rPr>
                <w:rFonts w:ascii="Calibri" w:hAnsi="Calibri"/>
                <w:b/>
                <w:bCs/>
                <w:sz w:val="20"/>
                <w:szCs w:val="20"/>
              </w:rPr>
              <w:t>Iznos</w:t>
            </w:r>
          </w:p>
        </w:tc>
        <w:tc>
          <w:tcPr>
            <w:tcW w:w="1701" w:type="dxa"/>
            <w:tcBorders>
              <w:top w:val="single" w:sz="4" w:space="0" w:color="auto"/>
              <w:left w:val="single" w:sz="4" w:space="0" w:color="auto"/>
              <w:bottom w:val="nil"/>
              <w:right w:val="single" w:sz="4" w:space="0" w:color="auto"/>
            </w:tcBorders>
            <w:shd w:val="clear" w:color="000000" w:fill="548DD4"/>
            <w:vAlign w:val="center"/>
            <w:hideMark/>
          </w:tcPr>
          <w:p w14:paraId="5E928737" w14:textId="1659E504" w:rsidR="00900F10" w:rsidRPr="00900F10" w:rsidRDefault="00F9654C" w:rsidP="00900F10">
            <w:pPr>
              <w:jc w:val="center"/>
              <w:rPr>
                <w:rFonts w:ascii="Calibri" w:hAnsi="Calibri"/>
                <w:b/>
                <w:bCs/>
                <w:sz w:val="20"/>
                <w:szCs w:val="20"/>
              </w:rPr>
            </w:pPr>
            <w:r>
              <w:rPr>
                <w:rFonts w:ascii="Calibri" w:hAnsi="Calibri"/>
                <w:b/>
                <w:bCs/>
                <w:sz w:val="20"/>
                <w:szCs w:val="20"/>
              </w:rPr>
              <w:t>Iznos</w:t>
            </w:r>
          </w:p>
        </w:tc>
      </w:tr>
      <w:tr w:rsidR="00900F10" w:rsidRPr="00900F10" w14:paraId="69B8687C" w14:textId="77777777" w:rsidTr="00900F10">
        <w:trPr>
          <w:trHeight w:val="315"/>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EEA7670" w14:textId="77777777" w:rsidR="00900F10" w:rsidRPr="00900F10" w:rsidRDefault="00900F10" w:rsidP="00900F10">
            <w:pPr>
              <w:jc w:val="left"/>
              <w:rPr>
                <w:rFonts w:ascii="Calibri" w:hAnsi="Calibri"/>
                <w:b/>
                <w:bCs/>
                <w:sz w:val="20"/>
                <w:szCs w:val="20"/>
              </w:rPr>
            </w:pPr>
          </w:p>
        </w:tc>
        <w:tc>
          <w:tcPr>
            <w:tcW w:w="3827" w:type="dxa"/>
            <w:vMerge/>
            <w:tcBorders>
              <w:top w:val="single" w:sz="4" w:space="0" w:color="auto"/>
              <w:left w:val="single" w:sz="4" w:space="0" w:color="auto"/>
              <w:bottom w:val="single" w:sz="4" w:space="0" w:color="auto"/>
              <w:right w:val="nil"/>
            </w:tcBorders>
            <w:vAlign w:val="center"/>
            <w:hideMark/>
          </w:tcPr>
          <w:p w14:paraId="43CE8745" w14:textId="77777777" w:rsidR="00900F10" w:rsidRPr="00900F10" w:rsidRDefault="00900F10" w:rsidP="00900F10">
            <w:pPr>
              <w:jc w:val="left"/>
              <w:rPr>
                <w:rFonts w:ascii="Calibri" w:hAnsi="Calibri"/>
                <w:b/>
                <w:bCs/>
                <w:sz w:val="20"/>
                <w:szCs w:val="20"/>
              </w:rPr>
            </w:pPr>
          </w:p>
        </w:tc>
        <w:tc>
          <w:tcPr>
            <w:tcW w:w="2410" w:type="dxa"/>
            <w:tcBorders>
              <w:top w:val="nil"/>
              <w:left w:val="single" w:sz="4" w:space="0" w:color="auto"/>
              <w:bottom w:val="single" w:sz="4" w:space="0" w:color="auto"/>
              <w:right w:val="nil"/>
            </w:tcBorders>
            <w:shd w:val="clear" w:color="000000" w:fill="548DD4"/>
            <w:vAlign w:val="center"/>
            <w:hideMark/>
          </w:tcPr>
          <w:p w14:paraId="65284113" w14:textId="5D11258A" w:rsidR="00900F10" w:rsidRPr="00900F10" w:rsidRDefault="00F9654C" w:rsidP="00F9654C">
            <w:pPr>
              <w:jc w:val="center"/>
              <w:rPr>
                <w:rFonts w:ascii="Calibri" w:hAnsi="Calibri"/>
                <w:b/>
                <w:bCs/>
                <w:sz w:val="20"/>
                <w:szCs w:val="20"/>
              </w:rPr>
            </w:pPr>
            <w:r>
              <w:rPr>
                <w:rFonts w:ascii="Calibri" w:hAnsi="Calibri"/>
                <w:b/>
                <w:bCs/>
                <w:sz w:val="20"/>
                <w:szCs w:val="20"/>
              </w:rPr>
              <w:t>kredita</w:t>
            </w:r>
          </w:p>
        </w:tc>
        <w:tc>
          <w:tcPr>
            <w:tcW w:w="1701" w:type="dxa"/>
            <w:tcBorders>
              <w:top w:val="nil"/>
              <w:left w:val="single" w:sz="4" w:space="0" w:color="auto"/>
              <w:bottom w:val="single" w:sz="4" w:space="0" w:color="auto"/>
              <w:right w:val="single" w:sz="4" w:space="0" w:color="auto"/>
            </w:tcBorders>
            <w:shd w:val="clear" w:color="000000" w:fill="548DD4"/>
            <w:vAlign w:val="center"/>
            <w:hideMark/>
          </w:tcPr>
          <w:p w14:paraId="54555C07" w14:textId="4F951919" w:rsidR="00900F10" w:rsidRPr="00900F10" w:rsidRDefault="00F9654C" w:rsidP="00900F10">
            <w:pPr>
              <w:jc w:val="center"/>
              <w:rPr>
                <w:rFonts w:ascii="Calibri" w:hAnsi="Calibri"/>
                <w:b/>
                <w:bCs/>
                <w:sz w:val="20"/>
                <w:szCs w:val="20"/>
              </w:rPr>
            </w:pPr>
            <w:r>
              <w:rPr>
                <w:rFonts w:ascii="Calibri" w:hAnsi="Calibri"/>
                <w:b/>
                <w:bCs/>
                <w:sz w:val="20"/>
                <w:szCs w:val="20"/>
              </w:rPr>
              <w:t>garancije</w:t>
            </w:r>
          </w:p>
        </w:tc>
      </w:tr>
      <w:tr w:rsidR="00900F10" w:rsidRPr="00900F10" w14:paraId="67F34B21" w14:textId="77777777" w:rsidTr="00900F10">
        <w:trPr>
          <w:trHeight w:val="357"/>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28D451F" w14:textId="77777777" w:rsidR="00900F10" w:rsidRPr="00900F10" w:rsidRDefault="00900F10" w:rsidP="00900F10">
            <w:pPr>
              <w:jc w:val="center"/>
              <w:rPr>
                <w:rFonts w:ascii="Calibri" w:hAnsi="Calibri"/>
                <w:sz w:val="20"/>
                <w:szCs w:val="20"/>
              </w:rPr>
            </w:pPr>
            <w:r w:rsidRPr="00900F10">
              <w:rPr>
                <w:rFonts w:ascii="Calibri" w:hAnsi="Calibri"/>
                <w:sz w:val="20"/>
                <w:szCs w:val="20"/>
              </w:rPr>
              <w:t>1.</w:t>
            </w:r>
          </w:p>
        </w:tc>
        <w:tc>
          <w:tcPr>
            <w:tcW w:w="3827" w:type="dxa"/>
            <w:tcBorders>
              <w:top w:val="nil"/>
              <w:left w:val="nil"/>
              <w:bottom w:val="single" w:sz="4" w:space="0" w:color="auto"/>
              <w:right w:val="single" w:sz="4" w:space="0" w:color="auto"/>
            </w:tcBorders>
            <w:shd w:val="clear" w:color="000000" w:fill="FFFFFF"/>
            <w:vAlign w:val="center"/>
            <w:hideMark/>
          </w:tcPr>
          <w:p w14:paraId="60A19B90" w14:textId="77777777" w:rsidR="00900F10" w:rsidRPr="00900F10" w:rsidRDefault="00900F10" w:rsidP="00900F10">
            <w:pPr>
              <w:rPr>
                <w:rFonts w:ascii="Calibri" w:hAnsi="Calibri"/>
                <w:sz w:val="20"/>
                <w:szCs w:val="20"/>
              </w:rPr>
            </w:pPr>
            <w:r w:rsidRPr="00900F10">
              <w:rPr>
                <w:rFonts w:ascii="Calibri" w:hAnsi="Calibri"/>
                <w:sz w:val="20"/>
                <w:szCs w:val="20"/>
              </w:rPr>
              <w:t>Prijedorputevi a.d. Prijedor</w:t>
            </w:r>
          </w:p>
        </w:tc>
        <w:tc>
          <w:tcPr>
            <w:tcW w:w="2410" w:type="dxa"/>
            <w:tcBorders>
              <w:top w:val="nil"/>
              <w:left w:val="nil"/>
              <w:bottom w:val="single" w:sz="4" w:space="0" w:color="auto"/>
              <w:right w:val="single" w:sz="4" w:space="0" w:color="auto"/>
            </w:tcBorders>
            <w:shd w:val="clear" w:color="000000" w:fill="FFFFFF"/>
            <w:vAlign w:val="center"/>
            <w:hideMark/>
          </w:tcPr>
          <w:p w14:paraId="32D9D355" w14:textId="77777777" w:rsidR="00900F10" w:rsidRPr="00900F10" w:rsidRDefault="00900F10" w:rsidP="00900F10">
            <w:pPr>
              <w:jc w:val="right"/>
              <w:rPr>
                <w:rFonts w:ascii="Calibri" w:hAnsi="Calibri"/>
                <w:sz w:val="20"/>
                <w:szCs w:val="20"/>
              </w:rPr>
            </w:pPr>
            <w:r w:rsidRPr="00900F10">
              <w:rPr>
                <w:rFonts w:ascii="Calibri" w:hAnsi="Calibri"/>
                <w:sz w:val="20"/>
                <w:szCs w:val="20"/>
              </w:rPr>
              <w:t>2.600.000,00</w:t>
            </w:r>
          </w:p>
        </w:tc>
        <w:tc>
          <w:tcPr>
            <w:tcW w:w="1701" w:type="dxa"/>
            <w:tcBorders>
              <w:top w:val="nil"/>
              <w:left w:val="nil"/>
              <w:bottom w:val="single" w:sz="4" w:space="0" w:color="auto"/>
              <w:right w:val="single" w:sz="4" w:space="0" w:color="auto"/>
            </w:tcBorders>
            <w:shd w:val="clear" w:color="000000" w:fill="FFFFFF"/>
            <w:vAlign w:val="center"/>
            <w:hideMark/>
          </w:tcPr>
          <w:p w14:paraId="698D2C8F" w14:textId="77777777" w:rsidR="00900F10" w:rsidRPr="00900F10" w:rsidRDefault="00900F10" w:rsidP="00900F10">
            <w:pPr>
              <w:jc w:val="right"/>
              <w:rPr>
                <w:rFonts w:ascii="Calibri" w:hAnsi="Calibri"/>
                <w:sz w:val="20"/>
                <w:szCs w:val="20"/>
              </w:rPr>
            </w:pPr>
            <w:r w:rsidRPr="00900F10">
              <w:rPr>
                <w:rFonts w:ascii="Calibri" w:hAnsi="Calibri"/>
                <w:sz w:val="20"/>
                <w:szCs w:val="20"/>
              </w:rPr>
              <w:t>1.300.000,00</w:t>
            </w:r>
          </w:p>
        </w:tc>
      </w:tr>
      <w:tr w:rsidR="00900F10" w:rsidRPr="00900F10" w14:paraId="421215BC" w14:textId="77777777" w:rsidTr="00900F10">
        <w:trPr>
          <w:trHeight w:val="26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B962161" w14:textId="77777777" w:rsidR="00900F10" w:rsidRPr="00900F10" w:rsidRDefault="00900F10" w:rsidP="00900F10">
            <w:pPr>
              <w:jc w:val="center"/>
              <w:rPr>
                <w:rFonts w:ascii="Calibri" w:hAnsi="Calibri"/>
                <w:sz w:val="20"/>
                <w:szCs w:val="20"/>
              </w:rPr>
            </w:pPr>
            <w:r w:rsidRPr="00900F10">
              <w:rPr>
                <w:rFonts w:ascii="Calibri" w:hAnsi="Calibri"/>
                <w:sz w:val="20"/>
                <w:szCs w:val="20"/>
              </w:rPr>
              <w:t>2.</w:t>
            </w:r>
          </w:p>
        </w:tc>
        <w:tc>
          <w:tcPr>
            <w:tcW w:w="3827" w:type="dxa"/>
            <w:tcBorders>
              <w:top w:val="nil"/>
              <w:left w:val="nil"/>
              <w:bottom w:val="single" w:sz="4" w:space="0" w:color="auto"/>
              <w:right w:val="single" w:sz="4" w:space="0" w:color="auto"/>
            </w:tcBorders>
            <w:shd w:val="clear" w:color="000000" w:fill="FFFFFF"/>
            <w:vAlign w:val="center"/>
            <w:hideMark/>
          </w:tcPr>
          <w:p w14:paraId="498B71C3" w14:textId="77777777" w:rsidR="00900F10" w:rsidRPr="00900F10" w:rsidRDefault="00900F10" w:rsidP="00900F10">
            <w:pPr>
              <w:rPr>
                <w:rFonts w:ascii="Calibri" w:hAnsi="Calibri"/>
                <w:sz w:val="20"/>
                <w:szCs w:val="20"/>
              </w:rPr>
            </w:pPr>
            <w:r w:rsidRPr="00900F10">
              <w:rPr>
                <w:rFonts w:ascii="Calibri" w:hAnsi="Calibri"/>
                <w:sz w:val="20"/>
                <w:szCs w:val="20"/>
              </w:rPr>
              <w:t>Matađoni vl. Brkić Aleksandar s.p.</w:t>
            </w:r>
          </w:p>
        </w:tc>
        <w:tc>
          <w:tcPr>
            <w:tcW w:w="2410" w:type="dxa"/>
            <w:tcBorders>
              <w:top w:val="nil"/>
              <w:left w:val="nil"/>
              <w:bottom w:val="single" w:sz="4" w:space="0" w:color="auto"/>
              <w:right w:val="single" w:sz="4" w:space="0" w:color="auto"/>
            </w:tcBorders>
            <w:shd w:val="clear" w:color="000000" w:fill="FFFFFF"/>
            <w:vAlign w:val="center"/>
            <w:hideMark/>
          </w:tcPr>
          <w:p w14:paraId="0598127F" w14:textId="77777777" w:rsidR="00900F10" w:rsidRPr="00900F10" w:rsidRDefault="00900F10" w:rsidP="00900F10">
            <w:pPr>
              <w:jc w:val="right"/>
              <w:rPr>
                <w:rFonts w:ascii="Calibri" w:hAnsi="Calibri"/>
                <w:sz w:val="20"/>
                <w:szCs w:val="20"/>
              </w:rPr>
            </w:pPr>
            <w:r w:rsidRPr="00900F10">
              <w:rPr>
                <w:rFonts w:ascii="Calibri" w:hAnsi="Calibri"/>
                <w:sz w:val="20"/>
                <w:szCs w:val="20"/>
              </w:rPr>
              <w:t>200.000,00</w:t>
            </w:r>
          </w:p>
        </w:tc>
        <w:tc>
          <w:tcPr>
            <w:tcW w:w="1701" w:type="dxa"/>
            <w:tcBorders>
              <w:top w:val="nil"/>
              <w:left w:val="nil"/>
              <w:bottom w:val="single" w:sz="4" w:space="0" w:color="auto"/>
              <w:right w:val="single" w:sz="4" w:space="0" w:color="auto"/>
            </w:tcBorders>
            <w:shd w:val="clear" w:color="000000" w:fill="FFFFFF"/>
            <w:vAlign w:val="center"/>
            <w:hideMark/>
          </w:tcPr>
          <w:p w14:paraId="360A3EA5" w14:textId="77777777" w:rsidR="00900F10" w:rsidRPr="00900F10" w:rsidRDefault="00900F10" w:rsidP="00900F10">
            <w:pPr>
              <w:jc w:val="right"/>
              <w:rPr>
                <w:rFonts w:ascii="Calibri" w:hAnsi="Calibri"/>
                <w:sz w:val="20"/>
                <w:szCs w:val="20"/>
              </w:rPr>
            </w:pPr>
            <w:r w:rsidRPr="00900F10">
              <w:rPr>
                <w:rFonts w:ascii="Calibri" w:hAnsi="Calibri"/>
                <w:sz w:val="20"/>
                <w:szCs w:val="20"/>
              </w:rPr>
              <w:t>100.000,00</w:t>
            </w:r>
          </w:p>
        </w:tc>
      </w:tr>
      <w:tr w:rsidR="00900F10" w:rsidRPr="00900F10" w14:paraId="5B7055F4" w14:textId="77777777" w:rsidTr="00900F10">
        <w:trPr>
          <w:trHeight w:val="282"/>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AD8A650" w14:textId="77777777" w:rsidR="00900F10" w:rsidRPr="00900F10" w:rsidRDefault="00900F10" w:rsidP="00900F10">
            <w:pPr>
              <w:jc w:val="center"/>
              <w:rPr>
                <w:rFonts w:ascii="Calibri" w:hAnsi="Calibri"/>
                <w:sz w:val="20"/>
                <w:szCs w:val="20"/>
              </w:rPr>
            </w:pPr>
            <w:r w:rsidRPr="00900F10">
              <w:rPr>
                <w:rFonts w:ascii="Calibri" w:hAnsi="Calibri"/>
                <w:sz w:val="20"/>
                <w:szCs w:val="20"/>
              </w:rPr>
              <w:t>3.</w:t>
            </w:r>
          </w:p>
        </w:tc>
        <w:tc>
          <w:tcPr>
            <w:tcW w:w="3827" w:type="dxa"/>
            <w:tcBorders>
              <w:top w:val="nil"/>
              <w:left w:val="nil"/>
              <w:bottom w:val="single" w:sz="4" w:space="0" w:color="auto"/>
              <w:right w:val="single" w:sz="4" w:space="0" w:color="auto"/>
            </w:tcBorders>
            <w:shd w:val="clear" w:color="000000" w:fill="FFFFFF"/>
            <w:vAlign w:val="center"/>
            <w:hideMark/>
          </w:tcPr>
          <w:p w14:paraId="74711CCE" w14:textId="77777777" w:rsidR="00900F10" w:rsidRPr="00900F10" w:rsidRDefault="00900F10" w:rsidP="00900F10">
            <w:pPr>
              <w:rPr>
                <w:rFonts w:ascii="Calibri" w:hAnsi="Calibri"/>
                <w:sz w:val="20"/>
                <w:szCs w:val="20"/>
              </w:rPr>
            </w:pPr>
            <w:r w:rsidRPr="00900F10">
              <w:rPr>
                <w:rFonts w:ascii="Calibri" w:hAnsi="Calibri"/>
                <w:sz w:val="20"/>
                <w:szCs w:val="20"/>
              </w:rPr>
              <w:t>Timarac Slobodanka</w:t>
            </w:r>
          </w:p>
        </w:tc>
        <w:tc>
          <w:tcPr>
            <w:tcW w:w="2410" w:type="dxa"/>
            <w:tcBorders>
              <w:top w:val="nil"/>
              <w:left w:val="nil"/>
              <w:bottom w:val="single" w:sz="4" w:space="0" w:color="auto"/>
              <w:right w:val="single" w:sz="4" w:space="0" w:color="auto"/>
            </w:tcBorders>
            <w:shd w:val="clear" w:color="000000" w:fill="FFFFFF"/>
            <w:vAlign w:val="center"/>
            <w:hideMark/>
          </w:tcPr>
          <w:p w14:paraId="326B118F" w14:textId="77777777" w:rsidR="00900F10" w:rsidRPr="00900F10" w:rsidRDefault="00900F10" w:rsidP="00900F10">
            <w:pPr>
              <w:jc w:val="right"/>
              <w:rPr>
                <w:rFonts w:ascii="Calibri" w:hAnsi="Calibri"/>
                <w:sz w:val="20"/>
                <w:szCs w:val="20"/>
              </w:rPr>
            </w:pPr>
            <w:r w:rsidRPr="00900F10">
              <w:rPr>
                <w:rFonts w:ascii="Calibri" w:hAnsi="Calibri"/>
                <w:sz w:val="20"/>
                <w:szCs w:val="20"/>
              </w:rPr>
              <w:t>60.000,00</w:t>
            </w:r>
          </w:p>
        </w:tc>
        <w:tc>
          <w:tcPr>
            <w:tcW w:w="1701" w:type="dxa"/>
            <w:tcBorders>
              <w:top w:val="nil"/>
              <w:left w:val="nil"/>
              <w:bottom w:val="single" w:sz="4" w:space="0" w:color="auto"/>
              <w:right w:val="single" w:sz="4" w:space="0" w:color="auto"/>
            </w:tcBorders>
            <w:shd w:val="clear" w:color="000000" w:fill="FFFFFF"/>
            <w:vAlign w:val="center"/>
            <w:hideMark/>
          </w:tcPr>
          <w:p w14:paraId="508D6534" w14:textId="77777777" w:rsidR="00900F10" w:rsidRPr="00900F10" w:rsidRDefault="00900F10" w:rsidP="00900F10">
            <w:pPr>
              <w:jc w:val="right"/>
              <w:rPr>
                <w:rFonts w:ascii="Calibri" w:hAnsi="Calibri"/>
                <w:sz w:val="20"/>
                <w:szCs w:val="20"/>
              </w:rPr>
            </w:pPr>
            <w:r w:rsidRPr="00900F10">
              <w:rPr>
                <w:rFonts w:ascii="Calibri" w:hAnsi="Calibri"/>
                <w:sz w:val="20"/>
                <w:szCs w:val="20"/>
              </w:rPr>
              <w:t>30.000,00</w:t>
            </w:r>
          </w:p>
        </w:tc>
      </w:tr>
      <w:tr w:rsidR="00900F10" w:rsidRPr="00900F10" w14:paraId="1CA04FB8" w14:textId="77777777" w:rsidTr="00900F10">
        <w:trPr>
          <w:trHeight w:val="27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F9E5837" w14:textId="77777777" w:rsidR="00900F10" w:rsidRPr="00900F10" w:rsidRDefault="00900F10" w:rsidP="00900F10">
            <w:pPr>
              <w:jc w:val="center"/>
              <w:rPr>
                <w:rFonts w:ascii="Calibri" w:hAnsi="Calibri"/>
                <w:sz w:val="20"/>
                <w:szCs w:val="20"/>
              </w:rPr>
            </w:pPr>
            <w:r w:rsidRPr="00900F10">
              <w:rPr>
                <w:rFonts w:ascii="Calibri" w:hAnsi="Calibri"/>
                <w:sz w:val="20"/>
                <w:szCs w:val="20"/>
              </w:rPr>
              <w:t>4.</w:t>
            </w:r>
          </w:p>
        </w:tc>
        <w:tc>
          <w:tcPr>
            <w:tcW w:w="3827" w:type="dxa"/>
            <w:tcBorders>
              <w:top w:val="nil"/>
              <w:left w:val="nil"/>
              <w:bottom w:val="single" w:sz="4" w:space="0" w:color="auto"/>
              <w:right w:val="single" w:sz="4" w:space="0" w:color="auto"/>
            </w:tcBorders>
            <w:shd w:val="clear" w:color="000000" w:fill="FFFFFF"/>
            <w:vAlign w:val="center"/>
            <w:hideMark/>
          </w:tcPr>
          <w:p w14:paraId="78AB295E" w14:textId="77777777" w:rsidR="00900F10" w:rsidRPr="00900F10" w:rsidRDefault="00900F10" w:rsidP="00900F10">
            <w:pPr>
              <w:rPr>
                <w:rFonts w:ascii="Calibri" w:hAnsi="Calibri"/>
                <w:sz w:val="20"/>
                <w:szCs w:val="20"/>
              </w:rPr>
            </w:pPr>
            <w:r w:rsidRPr="00900F10">
              <w:rPr>
                <w:rFonts w:ascii="Calibri" w:hAnsi="Calibri"/>
                <w:sz w:val="20"/>
                <w:szCs w:val="20"/>
              </w:rPr>
              <w:t>ZU Specijalistički centar Mediccare</w:t>
            </w:r>
          </w:p>
        </w:tc>
        <w:tc>
          <w:tcPr>
            <w:tcW w:w="2410" w:type="dxa"/>
            <w:tcBorders>
              <w:top w:val="nil"/>
              <w:left w:val="nil"/>
              <w:bottom w:val="single" w:sz="4" w:space="0" w:color="auto"/>
              <w:right w:val="single" w:sz="4" w:space="0" w:color="auto"/>
            </w:tcBorders>
            <w:shd w:val="clear" w:color="000000" w:fill="FFFFFF"/>
            <w:vAlign w:val="center"/>
            <w:hideMark/>
          </w:tcPr>
          <w:p w14:paraId="595EF0DC" w14:textId="77777777" w:rsidR="00900F10" w:rsidRPr="00900F10" w:rsidRDefault="00900F10" w:rsidP="00900F10">
            <w:pPr>
              <w:jc w:val="right"/>
              <w:rPr>
                <w:rFonts w:ascii="Calibri" w:hAnsi="Calibri"/>
                <w:sz w:val="20"/>
                <w:szCs w:val="20"/>
              </w:rPr>
            </w:pPr>
            <w:r w:rsidRPr="00900F10">
              <w:rPr>
                <w:rFonts w:ascii="Calibri" w:hAnsi="Calibri"/>
                <w:sz w:val="20"/>
                <w:szCs w:val="20"/>
              </w:rPr>
              <w:t>300.000,00</w:t>
            </w:r>
          </w:p>
        </w:tc>
        <w:tc>
          <w:tcPr>
            <w:tcW w:w="1701" w:type="dxa"/>
            <w:tcBorders>
              <w:top w:val="nil"/>
              <w:left w:val="nil"/>
              <w:bottom w:val="single" w:sz="4" w:space="0" w:color="auto"/>
              <w:right w:val="single" w:sz="4" w:space="0" w:color="auto"/>
            </w:tcBorders>
            <w:shd w:val="clear" w:color="000000" w:fill="FFFFFF"/>
            <w:vAlign w:val="center"/>
            <w:hideMark/>
          </w:tcPr>
          <w:p w14:paraId="2A4B0F8D"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w:t>
            </w:r>
          </w:p>
        </w:tc>
      </w:tr>
      <w:tr w:rsidR="00900F10" w:rsidRPr="00900F10" w14:paraId="03CDC0DD"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D1F01DC" w14:textId="77777777" w:rsidR="00900F10" w:rsidRPr="00900F10" w:rsidRDefault="00900F10" w:rsidP="00900F10">
            <w:pPr>
              <w:jc w:val="center"/>
              <w:rPr>
                <w:rFonts w:ascii="Calibri" w:hAnsi="Calibri"/>
                <w:sz w:val="20"/>
                <w:szCs w:val="20"/>
              </w:rPr>
            </w:pPr>
            <w:r w:rsidRPr="00900F10">
              <w:rPr>
                <w:rFonts w:ascii="Calibri" w:hAnsi="Calibri"/>
                <w:sz w:val="20"/>
                <w:szCs w:val="20"/>
              </w:rPr>
              <w:t>5.</w:t>
            </w:r>
          </w:p>
        </w:tc>
        <w:tc>
          <w:tcPr>
            <w:tcW w:w="3827" w:type="dxa"/>
            <w:tcBorders>
              <w:top w:val="nil"/>
              <w:left w:val="nil"/>
              <w:bottom w:val="single" w:sz="4" w:space="0" w:color="auto"/>
              <w:right w:val="single" w:sz="4" w:space="0" w:color="auto"/>
            </w:tcBorders>
            <w:shd w:val="clear" w:color="000000" w:fill="FFFFFF"/>
            <w:vAlign w:val="center"/>
            <w:hideMark/>
          </w:tcPr>
          <w:p w14:paraId="399741B8" w14:textId="7A3C9198" w:rsidR="00900F10" w:rsidRPr="00900F10" w:rsidRDefault="00F9654C" w:rsidP="00900F10">
            <w:pPr>
              <w:rPr>
                <w:rFonts w:ascii="Calibri" w:hAnsi="Calibri"/>
                <w:sz w:val="20"/>
                <w:szCs w:val="20"/>
              </w:rPr>
            </w:pPr>
            <w:r>
              <w:rPr>
                <w:rFonts w:ascii="Calibri" w:hAnsi="Calibri"/>
                <w:sz w:val="20"/>
                <w:szCs w:val="20"/>
              </w:rPr>
              <w:t>DDMS d.o.o. Braći</w:t>
            </w:r>
          </w:p>
        </w:tc>
        <w:tc>
          <w:tcPr>
            <w:tcW w:w="2410" w:type="dxa"/>
            <w:tcBorders>
              <w:top w:val="nil"/>
              <w:left w:val="nil"/>
              <w:bottom w:val="single" w:sz="4" w:space="0" w:color="auto"/>
              <w:right w:val="single" w:sz="4" w:space="0" w:color="auto"/>
            </w:tcBorders>
            <w:shd w:val="clear" w:color="000000" w:fill="FFFFFF"/>
            <w:vAlign w:val="center"/>
            <w:hideMark/>
          </w:tcPr>
          <w:p w14:paraId="7AC0FFCA" w14:textId="77777777" w:rsidR="00900F10" w:rsidRPr="00900F10" w:rsidRDefault="00900F10" w:rsidP="00900F10">
            <w:pPr>
              <w:jc w:val="right"/>
              <w:rPr>
                <w:rFonts w:ascii="Calibri" w:hAnsi="Calibri"/>
                <w:sz w:val="20"/>
                <w:szCs w:val="20"/>
              </w:rPr>
            </w:pPr>
            <w:r w:rsidRPr="00900F10">
              <w:rPr>
                <w:rFonts w:ascii="Calibri" w:hAnsi="Calibri"/>
                <w:sz w:val="20"/>
                <w:szCs w:val="20"/>
              </w:rPr>
              <w:t>280.000,00</w:t>
            </w:r>
          </w:p>
        </w:tc>
        <w:tc>
          <w:tcPr>
            <w:tcW w:w="1701" w:type="dxa"/>
            <w:tcBorders>
              <w:top w:val="nil"/>
              <w:left w:val="nil"/>
              <w:bottom w:val="single" w:sz="4" w:space="0" w:color="auto"/>
              <w:right w:val="single" w:sz="4" w:space="0" w:color="auto"/>
            </w:tcBorders>
            <w:shd w:val="clear" w:color="000000" w:fill="FFFFFF"/>
            <w:vAlign w:val="center"/>
            <w:hideMark/>
          </w:tcPr>
          <w:p w14:paraId="5921E151" w14:textId="77777777" w:rsidR="00900F10" w:rsidRPr="00900F10" w:rsidRDefault="00900F10" w:rsidP="00900F10">
            <w:pPr>
              <w:jc w:val="right"/>
              <w:rPr>
                <w:rFonts w:ascii="Calibri" w:hAnsi="Calibri"/>
                <w:sz w:val="20"/>
                <w:szCs w:val="20"/>
              </w:rPr>
            </w:pPr>
            <w:r w:rsidRPr="00900F10">
              <w:rPr>
                <w:rFonts w:ascii="Calibri" w:hAnsi="Calibri"/>
                <w:sz w:val="20"/>
                <w:szCs w:val="20"/>
              </w:rPr>
              <w:t>80.528,00</w:t>
            </w:r>
          </w:p>
        </w:tc>
      </w:tr>
      <w:tr w:rsidR="00900F10" w:rsidRPr="00900F10" w14:paraId="38FA55CD" w14:textId="77777777" w:rsidTr="00900F10">
        <w:trPr>
          <w:trHeight w:val="367"/>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76C8900" w14:textId="77777777" w:rsidR="00900F10" w:rsidRPr="00900F10" w:rsidRDefault="00900F10" w:rsidP="00900F10">
            <w:pPr>
              <w:jc w:val="center"/>
              <w:rPr>
                <w:rFonts w:ascii="Calibri" w:hAnsi="Calibri"/>
                <w:sz w:val="20"/>
                <w:szCs w:val="20"/>
              </w:rPr>
            </w:pPr>
            <w:r w:rsidRPr="00900F10">
              <w:rPr>
                <w:rFonts w:ascii="Calibri" w:hAnsi="Calibri"/>
                <w:sz w:val="20"/>
                <w:szCs w:val="20"/>
              </w:rPr>
              <w:t>6.</w:t>
            </w:r>
          </w:p>
        </w:tc>
        <w:tc>
          <w:tcPr>
            <w:tcW w:w="3827" w:type="dxa"/>
            <w:tcBorders>
              <w:top w:val="nil"/>
              <w:left w:val="nil"/>
              <w:bottom w:val="single" w:sz="4" w:space="0" w:color="auto"/>
              <w:right w:val="single" w:sz="4" w:space="0" w:color="auto"/>
            </w:tcBorders>
            <w:shd w:val="clear" w:color="000000" w:fill="FFFFFF"/>
            <w:vAlign w:val="center"/>
            <w:hideMark/>
          </w:tcPr>
          <w:p w14:paraId="69D066A4" w14:textId="77777777" w:rsidR="00900F10" w:rsidRPr="00900F10" w:rsidRDefault="00900F10" w:rsidP="00900F10">
            <w:pPr>
              <w:rPr>
                <w:rFonts w:ascii="Calibri" w:hAnsi="Calibri"/>
                <w:sz w:val="20"/>
                <w:szCs w:val="20"/>
              </w:rPr>
            </w:pPr>
            <w:r w:rsidRPr="00900F10">
              <w:rPr>
                <w:rFonts w:ascii="Calibri" w:hAnsi="Calibri"/>
                <w:sz w:val="20"/>
                <w:szCs w:val="20"/>
              </w:rPr>
              <w:t>Drvna industrija Šipovo d.o.o. Šipovo</w:t>
            </w:r>
          </w:p>
        </w:tc>
        <w:tc>
          <w:tcPr>
            <w:tcW w:w="2410" w:type="dxa"/>
            <w:tcBorders>
              <w:top w:val="nil"/>
              <w:left w:val="nil"/>
              <w:bottom w:val="single" w:sz="4" w:space="0" w:color="auto"/>
              <w:right w:val="single" w:sz="4" w:space="0" w:color="auto"/>
            </w:tcBorders>
            <w:shd w:val="clear" w:color="000000" w:fill="FFFFFF"/>
            <w:vAlign w:val="center"/>
            <w:hideMark/>
          </w:tcPr>
          <w:p w14:paraId="7AFE90C5"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w:t>
            </w:r>
          </w:p>
        </w:tc>
        <w:tc>
          <w:tcPr>
            <w:tcW w:w="1701" w:type="dxa"/>
            <w:tcBorders>
              <w:top w:val="nil"/>
              <w:left w:val="nil"/>
              <w:bottom w:val="single" w:sz="4" w:space="0" w:color="auto"/>
              <w:right w:val="single" w:sz="4" w:space="0" w:color="auto"/>
            </w:tcBorders>
            <w:shd w:val="clear" w:color="000000" w:fill="FFFFFF"/>
            <w:vAlign w:val="center"/>
            <w:hideMark/>
          </w:tcPr>
          <w:p w14:paraId="1304C4B0" w14:textId="77777777" w:rsidR="00900F10" w:rsidRPr="00900F10" w:rsidRDefault="00900F10" w:rsidP="00900F10">
            <w:pPr>
              <w:jc w:val="right"/>
              <w:rPr>
                <w:rFonts w:ascii="Calibri" w:hAnsi="Calibri"/>
                <w:sz w:val="20"/>
                <w:szCs w:val="20"/>
              </w:rPr>
            </w:pPr>
            <w:r w:rsidRPr="00900F10">
              <w:rPr>
                <w:rFonts w:ascii="Calibri" w:hAnsi="Calibri"/>
                <w:sz w:val="20"/>
                <w:szCs w:val="20"/>
              </w:rPr>
              <w:t>75.000,00</w:t>
            </w:r>
          </w:p>
        </w:tc>
      </w:tr>
      <w:tr w:rsidR="00900F10" w:rsidRPr="00900F10" w14:paraId="18868211"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6BA6659" w14:textId="77777777" w:rsidR="00900F10" w:rsidRPr="00900F10" w:rsidRDefault="00900F10" w:rsidP="00900F10">
            <w:pPr>
              <w:jc w:val="center"/>
              <w:rPr>
                <w:rFonts w:ascii="Calibri" w:hAnsi="Calibri"/>
                <w:sz w:val="20"/>
                <w:szCs w:val="20"/>
              </w:rPr>
            </w:pPr>
            <w:r w:rsidRPr="00900F10">
              <w:rPr>
                <w:rFonts w:ascii="Calibri" w:hAnsi="Calibri"/>
                <w:sz w:val="20"/>
                <w:szCs w:val="20"/>
              </w:rPr>
              <w:t>7.</w:t>
            </w:r>
          </w:p>
        </w:tc>
        <w:tc>
          <w:tcPr>
            <w:tcW w:w="3827" w:type="dxa"/>
            <w:tcBorders>
              <w:top w:val="nil"/>
              <w:left w:val="nil"/>
              <w:bottom w:val="single" w:sz="4" w:space="0" w:color="auto"/>
              <w:right w:val="single" w:sz="4" w:space="0" w:color="auto"/>
            </w:tcBorders>
            <w:shd w:val="clear" w:color="000000" w:fill="FFFFFF"/>
            <w:vAlign w:val="center"/>
            <w:hideMark/>
          </w:tcPr>
          <w:p w14:paraId="67F54C1B" w14:textId="77777777" w:rsidR="00900F10" w:rsidRPr="00900F10" w:rsidRDefault="00900F10" w:rsidP="00900F10">
            <w:pPr>
              <w:rPr>
                <w:rFonts w:ascii="Calibri" w:hAnsi="Calibri"/>
                <w:sz w:val="20"/>
                <w:szCs w:val="20"/>
              </w:rPr>
            </w:pPr>
            <w:r w:rsidRPr="00900F10">
              <w:rPr>
                <w:rFonts w:ascii="Calibri" w:hAnsi="Calibri"/>
                <w:sz w:val="20"/>
                <w:szCs w:val="20"/>
              </w:rPr>
              <w:t>TKT d.o.o. Prijedor</w:t>
            </w:r>
          </w:p>
        </w:tc>
        <w:tc>
          <w:tcPr>
            <w:tcW w:w="2410" w:type="dxa"/>
            <w:tcBorders>
              <w:top w:val="nil"/>
              <w:left w:val="nil"/>
              <w:bottom w:val="single" w:sz="4" w:space="0" w:color="auto"/>
              <w:right w:val="single" w:sz="4" w:space="0" w:color="auto"/>
            </w:tcBorders>
            <w:shd w:val="clear" w:color="000000" w:fill="FFFFFF"/>
            <w:vAlign w:val="center"/>
            <w:hideMark/>
          </w:tcPr>
          <w:p w14:paraId="487597AD" w14:textId="77777777" w:rsidR="00900F10" w:rsidRPr="00900F10" w:rsidRDefault="00900F10" w:rsidP="00900F10">
            <w:pPr>
              <w:jc w:val="right"/>
              <w:rPr>
                <w:rFonts w:ascii="Calibri" w:hAnsi="Calibri"/>
                <w:sz w:val="20"/>
                <w:szCs w:val="20"/>
              </w:rPr>
            </w:pPr>
            <w:r w:rsidRPr="00900F10">
              <w:rPr>
                <w:rFonts w:ascii="Calibri" w:hAnsi="Calibri"/>
                <w:sz w:val="20"/>
                <w:szCs w:val="20"/>
              </w:rPr>
              <w:t>120.000,00</w:t>
            </w:r>
          </w:p>
        </w:tc>
        <w:tc>
          <w:tcPr>
            <w:tcW w:w="1701" w:type="dxa"/>
            <w:tcBorders>
              <w:top w:val="nil"/>
              <w:left w:val="nil"/>
              <w:bottom w:val="single" w:sz="4" w:space="0" w:color="auto"/>
              <w:right w:val="single" w:sz="4" w:space="0" w:color="auto"/>
            </w:tcBorders>
            <w:shd w:val="clear" w:color="000000" w:fill="FFFFFF"/>
            <w:vAlign w:val="center"/>
            <w:hideMark/>
          </w:tcPr>
          <w:p w14:paraId="6248A8F4" w14:textId="77777777" w:rsidR="00900F10" w:rsidRPr="00900F10" w:rsidRDefault="00900F10" w:rsidP="00900F10">
            <w:pPr>
              <w:jc w:val="right"/>
              <w:rPr>
                <w:rFonts w:ascii="Calibri" w:hAnsi="Calibri"/>
                <w:sz w:val="20"/>
                <w:szCs w:val="20"/>
              </w:rPr>
            </w:pPr>
            <w:r w:rsidRPr="00900F10">
              <w:rPr>
                <w:rFonts w:ascii="Calibri" w:hAnsi="Calibri"/>
                <w:sz w:val="20"/>
                <w:szCs w:val="20"/>
              </w:rPr>
              <w:t>60.000,00</w:t>
            </w:r>
          </w:p>
        </w:tc>
      </w:tr>
      <w:tr w:rsidR="00900F10" w:rsidRPr="00900F10" w14:paraId="19DD0B4F"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B388F74" w14:textId="77777777" w:rsidR="00900F10" w:rsidRPr="00900F10" w:rsidRDefault="00900F10" w:rsidP="00900F10">
            <w:pPr>
              <w:jc w:val="center"/>
              <w:rPr>
                <w:rFonts w:ascii="Calibri" w:hAnsi="Calibri"/>
                <w:sz w:val="20"/>
                <w:szCs w:val="20"/>
              </w:rPr>
            </w:pPr>
            <w:r w:rsidRPr="00900F10">
              <w:rPr>
                <w:rFonts w:ascii="Calibri" w:hAnsi="Calibri"/>
                <w:sz w:val="20"/>
                <w:szCs w:val="20"/>
              </w:rPr>
              <w:t>8.</w:t>
            </w:r>
          </w:p>
        </w:tc>
        <w:tc>
          <w:tcPr>
            <w:tcW w:w="3827" w:type="dxa"/>
            <w:tcBorders>
              <w:top w:val="nil"/>
              <w:left w:val="nil"/>
              <w:bottom w:val="single" w:sz="4" w:space="0" w:color="auto"/>
              <w:right w:val="single" w:sz="4" w:space="0" w:color="auto"/>
            </w:tcBorders>
            <w:shd w:val="clear" w:color="000000" w:fill="FFFFFF"/>
            <w:vAlign w:val="center"/>
            <w:hideMark/>
          </w:tcPr>
          <w:p w14:paraId="43E447B5" w14:textId="77777777" w:rsidR="00900F10" w:rsidRPr="00900F10" w:rsidRDefault="00900F10" w:rsidP="00900F10">
            <w:pPr>
              <w:rPr>
                <w:rFonts w:ascii="Calibri" w:hAnsi="Calibri"/>
                <w:sz w:val="20"/>
                <w:szCs w:val="20"/>
              </w:rPr>
            </w:pPr>
            <w:r w:rsidRPr="00900F10">
              <w:rPr>
                <w:rFonts w:ascii="Calibri" w:hAnsi="Calibri"/>
                <w:sz w:val="20"/>
                <w:szCs w:val="20"/>
              </w:rPr>
              <w:t>Lazendić Vaskrsija</w:t>
            </w:r>
          </w:p>
        </w:tc>
        <w:tc>
          <w:tcPr>
            <w:tcW w:w="2410" w:type="dxa"/>
            <w:tcBorders>
              <w:top w:val="nil"/>
              <w:left w:val="nil"/>
              <w:bottom w:val="single" w:sz="4" w:space="0" w:color="auto"/>
              <w:right w:val="single" w:sz="4" w:space="0" w:color="auto"/>
            </w:tcBorders>
            <w:shd w:val="clear" w:color="000000" w:fill="FFFFFF"/>
            <w:vAlign w:val="center"/>
            <w:hideMark/>
          </w:tcPr>
          <w:p w14:paraId="279FBA41" w14:textId="77777777" w:rsidR="00900F10" w:rsidRPr="00900F10" w:rsidRDefault="00900F10" w:rsidP="00900F10">
            <w:pPr>
              <w:jc w:val="right"/>
              <w:rPr>
                <w:rFonts w:ascii="Calibri" w:hAnsi="Calibri"/>
                <w:sz w:val="20"/>
                <w:szCs w:val="20"/>
              </w:rPr>
            </w:pPr>
            <w:r w:rsidRPr="00900F10">
              <w:rPr>
                <w:rFonts w:ascii="Calibri" w:hAnsi="Calibri"/>
                <w:sz w:val="20"/>
                <w:szCs w:val="20"/>
              </w:rPr>
              <w:t>7.000,00</w:t>
            </w:r>
          </w:p>
        </w:tc>
        <w:tc>
          <w:tcPr>
            <w:tcW w:w="1701" w:type="dxa"/>
            <w:tcBorders>
              <w:top w:val="nil"/>
              <w:left w:val="nil"/>
              <w:bottom w:val="single" w:sz="4" w:space="0" w:color="auto"/>
              <w:right w:val="single" w:sz="4" w:space="0" w:color="auto"/>
            </w:tcBorders>
            <w:shd w:val="clear" w:color="000000" w:fill="FFFFFF"/>
            <w:vAlign w:val="center"/>
            <w:hideMark/>
          </w:tcPr>
          <w:p w14:paraId="35B91EBD"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w:t>
            </w:r>
          </w:p>
        </w:tc>
      </w:tr>
      <w:tr w:rsidR="00900F10" w:rsidRPr="00900F10" w14:paraId="1542FE7D"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0079696" w14:textId="77777777" w:rsidR="00900F10" w:rsidRPr="00900F10" w:rsidRDefault="00900F10" w:rsidP="00900F10">
            <w:pPr>
              <w:jc w:val="center"/>
              <w:rPr>
                <w:rFonts w:ascii="Calibri" w:hAnsi="Calibri"/>
                <w:sz w:val="20"/>
                <w:szCs w:val="20"/>
              </w:rPr>
            </w:pPr>
            <w:r w:rsidRPr="00900F10">
              <w:rPr>
                <w:rFonts w:ascii="Calibri" w:hAnsi="Calibri"/>
                <w:sz w:val="20"/>
                <w:szCs w:val="20"/>
              </w:rPr>
              <w:t>9.</w:t>
            </w:r>
          </w:p>
        </w:tc>
        <w:tc>
          <w:tcPr>
            <w:tcW w:w="3827" w:type="dxa"/>
            <w:tcBorders>
              <w:top w:val="nil"/>
              <w:left w:val="nil"/>
              <w:bottom w:val="single" w:sz="4" w:space="0" w:color="auto"/>
              <w:right w:val="single" w:sz="4" w:space="0" w:color="auto"/>
            </w:tcBorders>
            <w:shd w:val="clear" w:color="000000" w:fill="FFFFFF"/>
            <w:vAlign w:val="center"/>
            <w:hideMark/>
          </w:tcPr>
          <w:p w14:paraId="4E28DDDF" w14:textId="77777777" w:rsidR="00900F10" w:rsidRPr="00900F10" w:rsidRDefault="00900F10" w:rsidP="00900F10">
            <w:pPr>
              <w:rPr>
                <w:rFonts w:ascii="Calibri" w:hAnsi="Calibri"/>
                <w:sz w:val="20"/>
                <w:szCs w:val="20"/>
              </w:rPr>
            </w:pPr>
            <w:r w:rsidRPr="00900F10">
              <w:rPr>
                <w:rFonts w:ascii="Calibri" w:hAnsi="Calibri"/>
                <w:sz w:val="20"/>
                <w:szCs w:val="20"/>
              </w:rPr>
              <w:t>Stanković Radivoje</w:t>
            </w:r>
          </w:p>
        </w:tc>
        <w:tc>
          <w:tcPr>
            <w:tcW w:w="2410" w:type="dxa"/>
            <w:tcBorders>
              <w:top w:val="nil"/>
              <w:left w:val="nil"/>
              <w:bottom w:val="single" w:sz="4" w:space="0" w:color="auto"/>
              <w:right w:val="single" w:sz="4" w:space="0" w:color="auto"/>
            </w:tcBorders>
            <w:shd w:val="clear" w:color="000000" w:fill="FFFFFF"/>
            <w:vAlign w:val="center"/>
            <w:hideMark/>
          </w:tcPr>
          <w:p w14:paraId="10D484A3" w14:textId="77777777" w:rsidR="00900F10" w:rsidRPr="00900F10" w:rsidRDefault="00900F10" w:rsidP="00900F10">
            <w:pPr>
              <w:jc w:val="right"/>
              <w:rPr>
                <w:rFonts w:ascii="Calibri" w:hAnsi="Calibri"/>
                <w:sz w:val="20"/>
                <w:szCs w:val="20"/>
              </w:rPr>
            </w:pPr>
            <w:r w:rsidRPr="00900F10">
              <w:rPr>
                <w:rFonts w:ascii="Calibri" w:hAnsi="Calibri"/>
                <w:sz w:val="20"/>
                <w:szCs w:val="20"/>
              </w:rPr>
              <w:t>29.900,00</w:t>
            </w:r>
          </w:p>
        </w:tc>
        <w:tc>
          <w:tcPr>
            <w:tcW w:w="1701" w:type="dxa"/>
            <w:tcBorders>
              <w:top w:val="nil"/>
              <w:left w:val="nil"/>
              <w:bottom w:val="single" w:sz="4" w:space="0" w:color="auto"/>
              <w:right w:val="single" w:sz="4" w:space="0" w:color="auto"/>
            </w:tcBorders>
            <w:shd w:val="clear" w:color="000000" w:fill="FFFFFF"/>
            <w:vAlign w:val="center"/>
            <w:hideMark/>
          </w:tcPr>
          <w:p w14:paraId="43F125C6" w14:textId="77777777" w:rsidR="00900F10" w:rsidRPr="00900F10" w:rsidRDefault="00900F10" w:rsidP="00900F10">
            <w:pPr>
              <w:jc w:val="right"/>
              <w:rPr>
                <w:rFonts w:ascii="Calibri" w:hAnsi="Calibri"/>
                <w:sz w:val="20"/>
                <w:szCs w:val="20"/>
              </w:rPr>
            </w:pPr>
            <w:r w:rsidRPr="00900F10">
              <w:rPr>
                <w:rFonts w:ascii="Calibri" w:hAnsi="Calibri"/>
                <w:sz w:val="20"/>
                <w:szCs w:val="20"/>
              </w:rPr>
              <w:t>14.950,00</w:t>
            </w:r>
          </w:p>
        </w:tc>
      </w:tr>
      <w:tr w:rsidR="00900F10" w:rsidRPr="00900F10" w14:paraId="199E00C0" w14:textId="77777777" w:rsidTr="00900F10">
        <w:trPr>
          <w:trHeight w:val="31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629C7EB" w14:textId="77777777" w:rsidR="00900F10" w:rsidRPr="00900F10" w:rsidRDefault="00900F10" w:rsidP="00900F10">
            <w:pPr>
              <w:jc w:val="center"/>
              <w:rPr>
                <w:rFonts w:ascii="Calibri" w:hAnsi="Calibri"/>
                <w:sz w:val="20"/>
                <w:szCs w:val="20"/>
              </w:rPr>
            </w:pPr>
            <w:r w:rsidRPr="00900F10">
              <w:rPr>
                <w:rFonts w:ascii="Calibri" w:hAnsi="Calibri"/>
                <w:sz w:val="20"/>
                <w:szCs w:val="20"/>
              </w:rPr>
              <w:t>10.</w:t>
            </w:r>
          </w:p>
        </w:tc>
        <w:tc>
          <w:tcPr>
            <w:tcW w:w="3827" w:type="dxa"/>
            <w:tcBorders>
              <w:top w:val="nil"/>
              <w:left w:val="nil"/>
              <w:bottom w:val="single" w:sz="4" w:space="0" w:color="auto"/>
              <w:right w:val="single" w:sz="4" w:space="0" w:color="auto"/>
            </w:tcBorders>
            <w:shd w:val="clear" w:color="000000" w:fill="FFFFFF"/>
            <w:vAlign w:val="center"/>
            <w:hideMark/>
          </w:tcPr>
          <w:p w14:paraId="4BE7594A" w14:textId="6C47E19D" w:rsidR="00900F10" w:rsidRPr="00900F10" w:rsidRDefault="00900F10" w:rsidP="00900F10">
            <w:pPr>
              <w:rPr>
                <w:rFonts w:ascii="Calibri" w:hAnsi="Calibri"/>
                <w:sz w:val="20"/>
                <w:szCs w:val="20"/>
              </w:rPr>
            </w:pPr>
            <w:r w:rsidRPr="00900F10">
              <w:rPr>
                <w:rFonts w:ascii="Calibri" w:hAnsi="Calibri"/>
                <w:sz w:val="20"/>
                <w:szCs w:val="20"/>
              </w:rPr>
              <w:t>S</w:t>
            </w:r>
            <w:r w:rsidR="00F9654C">
              <w:rPr>
                <w:rFonts w:ascii="Calibri" w:hAnsi="Calibri"/>
                <w:sz w:val="20"/>
                <w:szCs w:val="20"/>
              </w:rPr>
              <w:t>ezona</w:t>
            </w:r>
            <w:r w:rsidRPr="00900F10">
              <w:rPr>
                <w:rFonts w:ascii="Calibri" w:hAnsi="Calibri"/>
                <w:sz w:val="20"/>
                <w:szCs w:val="20"/>
              </w:rPr>
              <w:t xml:space="preserve"> d.o.o. Foča</w:t>
            </w:r>
          </w:p>
        </w:tc>
        <w:tc>
          <w:tcPr>
            <w:tcW w:w="2410" w:type="dxa"/>
            <w:tcBorders>
              <w:top w:val="nil"/>
              <w:left w:val="nil"/>
              <w:bottom w:val="single" w:sz="4" w:space="0" w:color="auto"/>
              <w:right w:val="single" w:sz="4" w:space="0" w:color="auto"/>
            </w:tcBorders>
            <w:shd w:val="clear" w:color="000000" w:fill="FFFFFF"/>
            <w:vAlign w:val="center"/>
            <w:hideMark/>
          </w:tcPr>
          <w:p w14:paraId="05593A56" w14:textId="77777777" w:rsidR="00900F10" w:rsidRPr="00900F10" w:rsidRDefault="00900F10" w:rsidP="00900F10">
            <w:pPr>
              <w:jc w:val="right"/>
              <w:rPr>
                <w:rFonts w:ascii="Calibri" w:hAnsi="Calibri"/>
                <w:sz w:val="20"/>
                <w:szCs w:val="20"/>
              </w:rPr>
            </w:pPr>
            <w:r w:rsidRPr="00900F10">
              <w:rPr>
                <w:rFonts w:ascii="Calibri" w:hAnsi="Calibri"/>
                <w:sz w:val="20"/>
                <w:szCs w:val="20"/>
              </w:rPr>
              <w:t>282.000,00</w:t>
            </w:r>
          </w:p>
        </w:tc>
        <w:tc>
          <w:tcPr>
            <w:tcW w:w="1701" w:type="dxa"/>
            <w:tcBorders>
              <w:top w:val="nil"/>
              <w:left w:val="nil"/>
              <w:bottom w:val="single" w:sz="4" w:space="0" w:color="auto"/>
              <w:right w:val="single" w:sz="4" w:space="0" w:color="auto"/>
            </w:tcBorders>
            <w:shd w:val="clear" w:color="000000" w:fill="FFFFFF"/>
            <w:vAlign w:val="center"/>
            <w:hideMark/>
          </w:tcPr>
          <w:p w14:paraId="4B1FAF89" w14:textId="77777777" w:rsidR="00900F10" w:rsidRPr="00900F10" w:rsidRDefault="00900F10" w:rsidP="00900F10">
            <w:pPr>
              <w:jc w:val="right"/>
              <w:rPr>
                <w:rFonts w:ascii="Calibri" w:hAnsi="Calibri"/>
                <w:sz w:val="20"/>
                <w:szCs w:val="20"/>
              </w:rPr>
            </w:pPr>
            <w:r w:rsidRPr="00900F10">
              <w:rPr>
                <w:rFonts w:ascii="Calibri" w:hAnsi="Calibri"/>
                <w:sz w:val="20"/>
                <w:szCs w:val="20"/>
              </w:rPr>
              <w:t>141.000,00</w:t>
            </w:r>
          </w:p>
        </w:tc>
      </w:tr>
      <w:tr w:rsidR="00900F10" w:rsidRPr="00900F10" w14:paraId="42F85045" w14:textId="77777777" w:rsidTr="00900F10">
        <w:trPr>
          <w:trHeight w:val="391"/>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D8F8164" w14:textId="77777777" w:rsidR="00900F10" w:rsidRPr="00900F10" w:rsidRDefault="00900F10" w:rsidP="00900F10">
            <w:pPr>
              <w:jc w:val="center"/>
              <w:rPr>
                <w:rFonts w:ascii="Calibri" w:hAnsi="Calibri"/>
                <w:sz w:val="20"/>
                <w:szCs w:val="20"/>
              </w:rPr>
            </w:pPr>
            <w:r w:rsidRPr="00900F10">
              <w:rPr>
                <w:rFonts w:ascii="Calibri" w:hAnsi="Calibri"/>
                <w:sz w:val="20"/>
                <w:szCs w:val="20"/>
              </w:rPr>
              <w:t>11.</w:t>
            </w:r>
          </w:p>
        </w:tc>
        <w:tc>
          <w:tcPr>
            <w:tcW w:w="3827" w:type="dxa"/>
            <w:tcBorders>
              <w:top w:val="nil"/>
              <w:left w:val="nil"/>
              <w:bottom w:val="single" w:sz="4" w:space="0" w:color="auto"/>
              <w:right w:val="single" w:sz="4" w:space="0" w:color="auto"/>
            </w:tcBorders>
            <w:shd w:val="clear" w:color="000000" w:fill="FFFFFF"/>
            <w:vAlign w:val="center"/>
            <w:hideMark/>
          </w:tcPr>
          <w:p w14:paraId="6563C9A5" w14:textId="1A87469C" w:rsidR="00900F10" w:rsidRPr="00900F10" w:rsidRDefault="00900F10" w:rsidP="00900F10">
            <w:pPr>
              <w:rPr>
                <w:rFonts w:ascii="Calibri" w:hAnsi="Calibri"/>
                <w:sz w:val="20"/>
                <w:szCs w:val="20"/>
              </w:rPr>
            </w:pPr>
            <w:r w:rsidRPr="00900F10">
              <w:rPr>
                <w:rFonts w:ascii="Calibri" w:hAnsi="Calibri"/>
                <w:sz w:val="20"/>
                <w:szCs w:val="20"/>
              </w:rPr>
              <w:t>ECO-BEL d.o.o. Lakta</w:t>
            </w:r>
            <w:r w:rsidR="00F9654C">
              <w:rPr>
                <w:rFonts w:ascii="Calibri" w:hAnsi="Calibri"/>
                <w:sz w:val="20"/>
                <w:szCs w:val="20"/>
              </w:rPr>
              <w:t>ši</w:t>
            </w:r>
          </w:p>
        </w:tc>
        <w:tc>
          <w:tcPr>
            <w:tcW w:w="2410" w:type="dxa"/>
            <w:tcBorders>
              <w:top w:val="nil"/>
              <w:left w:val="nil"/>
              <w:bottom w:val="single" w:sz="4" w:space="0" w:color="auto"/>
              <w:right w:val="single" w:sz="4" w:space="0" w:color="auto"/>
            </w:tcBorders>
            <w:shd w:val="clear" w:color="000000" w:fill="FFFFFF"/>
            <w:vAlign w:val="center"/>
            <w:hideMark/>
          </w:tcPr>
          <w:p w14:paraId="403BA37F"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350.000,00</w:t>
            </w:r>
          </w:p>
        </w:tc>
        <w:tc>
          <w:tcPr>
            <w:tcW w:w="1701" w:type="dxa"/>
            <w:tcBorders>
              <w:top w:val="nil"/>
              <w:left w:val="nil"/>
              <w:bottom w:val="single" w:sz="4" w:space="0" w:color="auto"/>
              <w:right w:val="single" w:sz="4" w:space="0" w:color="auto"/>
            </w:tcBorders>
            <w:shd w:val="clear" w:color="000000" w:fill="FFFFFF"/>
            <w:vAlign w:val="center"/>
            <w:hideMark/>
          </w:tcPr>
          <w:p w14:paraId="4AFC0FD6" w14:textId="77777777" w:rsidR="00900F10" w:rsidRPr="00900F10" w:rsidRDefault="00900F10" w:rsidP="00900F10">
            <w:pPr>
              <w:jc w:val="right"/>
              <w:rPr>
                <w:rFonts w:ascii="Calibri" w:hAnsi="Calibri"/>
                <w:sz w:val="20"/>
                <w:szCs w:val="20"/>
              </w:rPr>
            </w:pPr>
            <w:r w:rsidRPr="00900F10">
              <w:rPr>
                <w:rFonts w:ascii="Calibri" w:hAnsi="Calibri"/>
                <w:sz w:val="20"/>
                <w:szCs w:val="20"/>
              </w:rPr>
              <w:t>175.000,00</w:t>
            </w:r>
          </w:p>
        </w:tc>
      </w:tr>
      <w:tr w:rsidR="00900F10" w:rsidRPr="00900F10" w14:paraId="5CBDE5AF" w14:textId="77777777" w:rsidTr="00900F10">
        <w:trPr>
          <w:trHeight w:val="269"/>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B2C4480" w14:textId="77777777" w:rsidR="00900F10" w:rsidRPr="00900F10" w:rsidRDefault="00900F10" w:rsidP="00900F10">
            <w:pPr>
              <w:jc w:val="center"/>
              <w:rPr>
                <w:rFonts w:ascii="Calibri" w:hAnsi="Calibri"/>
                <w:sz w:val="20"/>
                <w:szCs w:val="20"/>
              </w:rPr>
            </w:pPr>
            <w:r w:rsidRPr="00900F10">
              <w:rPr>
                <w:rFonts w:ascii="Calibri" w:hAnsi="Calibri"/>
                <w:sz w:val="20"/>
                <w:szCs w:val="20"/>
              </w:rPr>
              <w:t>12.</w:t>
            </w:r>
          </w:p>
        </w:tc>
        <w:tc>
          <w:tcPr>
            <w:tcW w:w="3827" w:type="dxa"/>
            <w:tcBorders>
              <w:top w:val="nil"/>
              <w:left w:val="nil"/>
              <w:bottom w:val="single" w:sz="4" w:space="0" w:color="auto"/>
              <w:right w:val="single" w:sz="4" w:space="0" w:color="auto"/>
            </w:tcBorders>
            <w:shd w:val="clear" w:color="000000" w:fill="FFFFFF"/>
            <w:vAlign w:val="center"/>
            <w:hideMark/>
          </w:tcPr>
          <w:p w14:paraId="7C4CCFBE" w14:textId="58EAE018" w:rsidR="00900F10" w:rsidRPr="00900F10" w:rsidRDefault="00900F10" w:rsidP="00900F10">
            <w:pPr>
              <w:rPr>
                <w:rFonts w:ascii="Calibri" w:hAnsi="Calibri"/>
                <w:sz w:val="20"/>
                <w:szCs w:val="20"/>
              </w:rPr>
            </w:pPr>
            <w:r w:rsidRPr="00900F10">
              <w:rPr>
                <w:rFonts w:ascii="Calibri" w:hAnsi="Calibri"/>
                <w:sz w:val="20"/>
                <w:szCs w:val="20"/>
              </w:rPr>
              <w:t>S</w:t>
            </w:r>
            <w:r w:rsidR="00F9654C">
              <w:rPr>
                <w:rFonts w:ascii="Calibri" w:hAnsi="Calibri"/>
                <w:sz w:val="20"/>
                <w:szCs w:val="20"/>
              </w:rPr>
              <w:t>MRČA</w:t>
            </w:r>
            <w:r w:rsidRPr="00900F10">
              <w:rPr>
                <w:rFonts w:ascii="Calibri" w:hAnsi="Calibri"/>
                <w:sz w:val="20"/>
                <w:szCs w:val="20"/>
              </w:rPr>
              <w:t xml:space="preserve"> </w:t>
            </w:r>
            <w:r w:rsidR="00F9654C">
              <w:rPr>
                <w:rFonts w:ascii="Calibri" w:hAnsi="Calibri"/>
                <w:sz w:val="20"/>
                <w:szCs w:val="20"/>
              </w:rPr>
              <w:t>vl.</w:t>
            </w:r>
            <w:r w:rsidRPr="00900F10">
              <w:rPr>
                <w:rFonts w:ascii="Calibri" w:hAnsi="Calibri"/>
                <w:sz w:val="20"/>
                <w:szCs w:val="20"/>
              </w:rPr>
              <w:t xml:space="preserve"> Živko Vukman s.p.</w:t>
            </w:r>
          </w:p>
        </w:tc>
        <w:tc>
          <w:tcPr>
            <w:tcW w:w="2410" w:type="dxa"/>
            <w:tcBorders>
              <w:top w:val="nil"/>
              <w:left w:val="nil"/>
              <w:bottom w:val="single" w:sz="4" w:space="0" w:color="auto"/>
              <w:right w:val="single" w:sz="4" w:space="0" w:color="auto"/>
            </w:tcBorders>
            <w:shd w:val="clear" w:color="000000" w:fill="FFFFFF"/>
            <w:vAlign w:val="center"/>
            <w:hideMark/>
          </w:tcPr>
          <w:p w14:paraId="29CAA5C9" w14:textId="77777777" w:rsidR="00900F10" w:rsidRPr="00900F10" w:rsidRDefault="00900F10" w:rsidP="00900F10">
            <w:pPr>
              <w:jc w:val="right"/>
              <w:rPr>
                <w:rFonts w:ascii="Calibri" w:hAnsi="Calibri"/>
                <w:sz w:val="20"/>
                <w:szCs w:val="20"/>
              </w:rPr>
            </w:pPr>
            <w:r w:rsidRPr="00900F10">
              <w:rPr>
                <w:rFonts w:ascii="Calibri" w:hAnsi="Calibri"/>
                <w:sz w:val="20"/>
                <w:szCs w:val="20"/>
              </w:rPr>
              <w:t>80.000,00</w:t>
            </w:r>
          </w:p>
        </w:tc>
        <w:tc>
          <w:tcPr>
            <w:tcW w:w="1701" w:type="dxa"/>
            <w:tcBorders>
              <w:top w:val="nil"/>
              <w:left w:val="nil"/>
              <w:bottom w:val="single" w:sz="4" w:space="0" w:color="auto"/>
              <w:right w:val="single" w:sz="4" w:space="0" w:color="auto"/>
            </w:tcBorders>
            <w:shd w:val="clear" w:color="000000" w:fill="FFFFFF"/>
            <w:vAlign w:val="center"/>
            <w:hideMark/>
          </w:tcPr>
          <w:p w14:paraId="5E46C9F0" w14:textId="77777777" w:rsidR="00900F10" w:rsidRPr="00900F10" w:rsidRDefault="00900F10" w:rsidP="00900F10">
            <w:pPr>
              <w:jc w:val="right"/>
              <w:rPr>
                <w:rFonts w:ascii="Calibri" w:hAnsi="Calibri"/>
                <w:sz w:val="20"/>
                <w:szCs w:val="20"/>
              </w:rPr>
            </w:pPr>
            <w:r w:rsidRPr="00900F10">
              <w:rPr>
                <w:rFonts w:ascii="Calibri" w:hAnsi="Calibri"/>
                <w:sz w:val="20"/>
                <w:szCs w:val="20"/>
              </w:rPr>
              <w:t>40.000,00</w:t>
            </w:r>
          </w:p>
        </w:tc>
      </w:tr>
      <w:tr w:rsidR="00900F10" w:rsidRPr="00900F10" w14:paraId="5A13B0B6" w14:textId="77777777" w:rsidTr="00900F10">
        <w:trPr>
          <w:trHeight w:val="556"/>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C21612F" w14:textId="77777777" w:rsidR="00900F10" w:rsidRPr="00900F10" w:rsidRDefault="00900F10" w:rsidP="00900F10">
            <w:pPr>
              <w:jc w:val="center"/>
              <w:rPr>
                <w:rFonts w:ascii="Calibri" w:hAnsi="Calibri"/>
                <w:sz w:val="20"/>
                <w:szCs w:val="20"/>
              </w:rPr>
            </w:pPr>
            <w:r w:rsidRPr="00900F10">
              <w:rPr>
                <w:rFonts w:ascii="Calibri" w:hAnsi="Calibri"/>
                <w:sz w:val="20"/>
                <w:szCs w:val="20"/>
              </w:rPr>
              <w:t>13.</w:t>
            </w:r>
          </w:p>
        </w:tc>
        <w:tc>
          <w:tcPr>
            <w:tcW w:w="3827" w:type="dxa"/>
            <w:tcBorders>
              <w:top w:val="nil"/>
              <w:left w:val="nil"/>
              <w:bottom w:val="single" w:sz="4" w:space="0" w:color="auto"/>
              <w:right w:val="single" w:sz="4" w:space="0" w:color="auto"/>
            </w:tcBorders>
            <w:shd w:val="clear" w:color="000000" w:fill="FFFFFF"/>
            <w:vAlign w:val="center"/>
            <w:hideMark/>
          </w:tcPr>
          <w:p w14:paraId="279A3685" w14:textId="77777777" w:rsidR="00900F10" w:rsidRPr="00900F10" w:rsidRDefault="00900F10" w:rsidP="00900F10">
            <w:pPr>
              <w:rPr>
                <w:rFonts w:ascii="Calibri" w:hAnsi="Calibri"/>
                <w:sz w:val="20"/>
                <w:szCs w:val="20"/>
              </w:rPr>
            </w:pPr>
            <w:r w:rsidRPr="00900F10">
              <w:rPr>
                <w:rFonts w:ascii="Calibri" w:hAnsi="Calibri"/>
                <w:sz w:val="20"/>
                <w:szCs w:val="20"/>
              </w:rPr>
              <w:t>ZU Ambulanta porodične medicine Kuća Zdravlja</w:t>
            </w:r>
          </w:p>
        </w:tc>
        <w:tc>
          <w:tcPr>
            <w:tcW w:w="2410" w:type="dxa"/>
            <w:tcBorders>
              <w:top w:val="nil"/>
              <w:left w:val="nil"/>
              <w:bottom w:val="single" w:sz="4" w:space="0" w:color="auto"/>
              <w:right w:val="single" w:sz="4" w:space="0" w:color="auto"/>
            </w:tcBorders>
            <w:shd w:val="clear" w:color="000000" w:fill="FFFFFF"/>
            <w:vAlign w:val="center"/>
            <w:hideMark/>
          </w:tcPr>
          <w:p w14:paraId="622A5C43" w14:textId="77777777" w:rsidR="00900F10" w:rsidRPr="00900F10" w:rsidRDefault="00900F10" w:rsidP="00900F10">
            <w:pPr>
              <w:jc w:val="right"/>
              <w:rPr>
                <w:rFonts w:ascii="Calibri" w:hAnsi="Calibri"/>
                <w:sz w:val="20"/>
                <w:szCs w:val="20"/>
              </w:rPr>
            </w:pPr>
            <w:r w:rsidRPr="00900F10">
              <w:rPr>
                <w:rFonts w:ascii="Calibri" w:hAnsi="Calibri"/>
                <w:sz w:val="20"/>
                <w:szCs w:val="20"/>
              </w:rPr>
              <w:t>70.000,00</w:t>
            </w:r>
          </w:p>
        </w:tc>
        <w:tc>
          <w:tcPr>
            <w:tcW w:w="1701" w:type="dxa"/>
            <w:tcBorders>
              <w:top w:val="nil"/>
              <w:left w:val="nil"/>
              <w:bottom w:val="single" w:sz="4" w:space="0" w:color="auto"/>
              <w:right w:val="single" w:sz="4" w:space="0" w:color="auto"/>
            </w:tcBorders>
            <w:shd w:val="clear" w:color="000000" w:fill="FFFFFF"/>
            <w:vAlign w:val="center"/>
            <w:hideMark/>
          </w:tcPr>
          <w:p w14:paraId="0E226F47"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35.000,00</w:t>
            </w:r>
          </w:p>
        </w:tc>
      </w:tr>
      <w:tr w:rsidR="00900F10" w:rsidRPr="00900F10" w14:paraId="44DBD3D7" w14:textId="77777777" w:rsidTr="00900F10">
        <w:trPr>
          <w:trHeight w:val="28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06F1F9E" w14:textId="77777777" w:rsidR="00900F10" w:rsidRPr="00900F10" w:rsidRDefault="00900F10" w:rsidP="00900F10">
            <w:pPr>
              <w:jc w:val="center"/>
              <w:rPr>
                <w:rFonts w:ascii="Calibri" w:hAnsi="Calibri"/>
                <w:sz w:val="20"/>
                <w:szCs w:val="20"/>
              </w:rPr>
            </w:pPr>
            <w:r w:rsidRPr="00900F10">
              <w:rPr>
                <w:rFonts w:ascii="Calibri" w:hAnsi="Calibri"/>
                <w:sz w:val="20"/>
                <w:szCs w:val="20"/>
              </w:rPr>
              <w:t>14.</w:t>
            </w:r>
          </w:p>
        </w:tc>
        <w:tc>
          <w:tcPr>
            <w:tcW w:w="3827" w:type="dxa"/>
            <w:tcBorders>
              <w:top w:val="nil"/>
              <w:left w:val="nil"/>
              <w:bottom w:val="single" w:sz="4" w:space="0" w:color="auto"/>
              <w:right w:val="single" w:sz="4" w:space="0" w:color="auto"/>
            </w:tcBorders>
            <w:shd w:val="clear" w:color="000000" w:fill="FFFFFF"/>
            <w:vAlign w:val="center"/>
            <w:hideMark/>
          </w:tcPr>
          <w:p w14:paraId="021CC0A7" w14:textId="77777777" w:rsidR="00900F10" w:rsidRPr="00900F10" w:rsidRDefault="00900F10" w:rsidP="00900F10">
            <w:pPr>
              <w:rPr>
                <w:rFonts w:ascii="Calibri" w:hAnsi="Calibri"/>
                <w:sz w:val="20"/>
                <w:szCs w:val="20"/>
              </w:rPr>
            </w:pPr>
            <w:r w:rsidRPr="00900F10">
              <w:rPr>
                <w:rFonts w:ascii="Calibri" w:hAnsi="Calibri"/>
                <w:sz w:val="20"/>
                <w:szCs w:val="20"/>
              </w:rPr>
              <w:t>Dobojinex d.o.o. Doboj</w:t>
            </w:r>
          </w:p>
        </w:tc>
        <w:tc>
          <w:tcPr>
            <w:tcW w:w="2410" w:type="dxa"/>
            <w:tcBorders>
              <w:top w:val="nil"/>
              <w:left w:val="nil"/>
              <w:bottom w:val="single" w:sz="4" w:space="0" w:color="auto"/>
              <w:right w:val="single" w:sz="4" w:space="0" w:color="auto"/>
            </w:tcBorders>
            <w:shd w:val="clear" w:color="000000" w:fill="FFFFFF"/>
            <w:vAlign w:val="center"/>
            <w:hideMark/>
          </w:tcPr>
          <w:p w14:paraId="24176863"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1.500.000,00</w:t>
            </w:r>
          </w:p>
        </w:tc>
        <w:tc>
          <w:tcPr>
            <w:tcW w:w="1701" w:type="dxa"/>
            <w:tcBorders>
              <w:top w:val="nil"/>
              <w:left w:val="nil"/>
              <w:bottom w:val="single" w:sz="4" w:space="0" w:color="auto"/>
              <w:right w:val="single" w:sz="4" w:space="0" w:color="auto"/>
            </w:tcBorders>
            <w:shd w:val="clear" w:color="000000" w:fill="FFFFFF"/>
            <w:vAlign w:val="center"/>
            <w:hideMark/>
          </w:tcPr>
          <w:p w14:paraId="310C6DC4" w14:textId="77777777" w:rsidR="00900F10" w:rsidRPr="00900F10" w:rsidRDefault="00900F10" w:rsidP="00900F10">
            <w:pPr>
              <w:jc w:val="right"/>
              <w:rPr>
                <w:rFonts w:ascii="Calibri" w:hAnsi="Calibri"/>
                <w:sz w:val="20"/>
                <w:szCs w:val="20"/>
              </w:rPr>
            </w:pPr>
            <w:r w:rsidRPr="00900F10">
              <w:rPr>
                <w:rFonts w:ascii="Calibri" w:hAnsi="Calibri"/>
                <w:sz w:val="20"/>
                <w:szCs w:val="20"/>
              </w:rPr>
              <w:t>1.050.000,00</w:t>
            </w:r>
          </w:p>
        </w:tc>
      </w:tr>
      <w:tr w:rsidR="00900F10" w:rsidRPr="00900F10" w14:paraId="632DC2F1" w14:textId="77777777" w:rsidTr="00900F10">
        <w:trPr>
          <w:trHeight w:val="27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05ABE90" w14:textId="77777777" w:rsidR="00900F10" w:rsidRPr="00900F10" w:rsidRDefault="00900F10" w:rsidP="00900F10">
            <w:pPr>
              <w:jc w:val="center"/>
              <w:rPr>
                <w:rFonts w:ascii="Calibri" w:hAnsi="Calibri"/>
                <w:sz w:val="20"/>
                <w:szCs w:val="20"/>
              </w:rPr>
            </w:pPr>
            <w:r w:rsidRPr="00900F10">
              <w:rPr>
                <w:rFonts w:ascii="Calibri" w:hAnsi="Calibri"/>
                <w:sz w:val="20"/>
                <w:szCs w:val="20"/>
              </w:rPr>
              <w:t>15.</w:t>
            </w:r>
          </w:p>
        </w:tc>
        <w:tc>
          <w:tcPr>
            <w:tcW w:w="3827" w:type="dxa"/>
            <w:tcBorders>
              <w:top w:val="nil"/>
              <w:left w:val="nil"/>
              <w:bottom w:val="single" w:sz="4" w:space="0" w:color="auto"/>
              <w:right w:val="single" w:sz="4" w:space="0" w:color="auto"/>
            </w:tcBorders>
            <w:shd w:val="clear" w:color="000000" w:fill="FFFFFF"/>
            <w:vAlign w:val="center"/>
            <w:hideMark/>
          </w:tcPr>
          <w:p w14:paraId="744D83E2" w14:textId="77777777" w:rsidR="00900F10" w:rsidRPr="00900F10" w:rsidRDefault="00900F10" w:rsidP="00900F10">
            <w:pPr>
              <w:rPr>
                <w:rFonts w:ascii="Calibri" w:hAnsi="Calibri"/>
                <w:sz w:val="20"/>
                <w:szCs w:val="20"/>
              </w:rPr>
            </w:pPr>
            <w:r w:rsidRPr="00900F10">
              <w:rPr>
                <w:rFonts w:ascii="Calibri" w:hAnsi="Calibri"/>
                <w:sz w:val="20"/>
                <w:szCs w:val="20"/>
              </w:rPr>
              <w:t>Gro line d.o.o. Jezero</w:t>
            </w:r>
          </w:p>
        </w:tc>
        <w:tc>
          <w:tcPr>
            <w:tcW w:w="2410" w:type="dxa"/>
            <w:tcBorders>
              <w:top w:val="nil"/>
              <w:left w:val="nil"/>
              <w:bottom w:val="single" w:sz="4" w:space="0" w:color="auto"/>
              <w:right w:val="single" w:sz="4" w:space="0" w:color="auto"/>
            </w:tcBorders>
            <w:shd w:val="clear" w:color="000000" w:fill="FFFFFF"/>
            <w:vAlign w:val="center"/>
            <w:hideMark/>
          </w:tcPr>
          <w:p w14:paraId="5CC972AE"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w:t>
            </w:r>
          </w:p>
        </w:tc>
        <w:tc>
          <w:tcPr>
            <w:tcW w:w="1701" w:type="dxa"/>
            <w:tcBorders>
              <w:top w:val="nil"/>
              <w:left w:val="nil"/>
              <w:bottom w:val="single" w:sz="4" w:space="0" w:color="auto"/>
              <w:right w:val="single" w:sz="4" w:space="0" w:color="auto"/>
            </w:tcBorders>
            <w:shd w:val="clear" w:color="000000" w:fill="FFFFFF"/>
            <w:vAlign w:val="center"/>
            <w:hideMark/>
          </w:tcPr>
          <w:p w14:paraId="37416789" w14:textId="77777777" w:rsidR="00900F10" w:rsidRPr="00900F10" w:rsidRDefault="00900F10" w:rsidP="00900F10">
            <w:pPr>
              <w:jc w:val="right"/>
              <w:rPr>
                <w:rFonts w:ascii="Calibri" w:hAnsi="Calibri"/>
                <w:sz w:val="20"/>
                <w:szCs w:val="20"/>
              </w:rPr>
            </w:pPr>
            <w:r w:rsidRPr="00900F10">
              <w:rPr>
                <w:rFonts w:ascii="Calibri" w:hAnsi="Calibri"/>
                <w:sz w:val="20"/>
                <w:szCs w:val="20"/>
              </w:rPr>
              <w:t>75.000,00</w:t>
            </w:r>
          </w:p>
        </w:tc>
      </w:tr>
      <w:tr w:rsidR="00900F10" w:rsidRPr="00900F10" w14:paraId="03853A80" w14:textId="77777777" w:rsidTr="00900F10">
        <w:trPr>
          <w:trHeight w:val="27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D9C7F06" w14:textId="77777777" w:rsidR="00900F10" w:rsidRPr="00900F10" w:rsidRDefault="00900F10" w:rsidP="00900F10">
            <w:pPr>
              <w:jc w:val="center"/>
              <w:rPr>
                <w:rFonts w:ascii="Calibri" w:hAnsi="Calibri"/>
                <w:sz w:val="20"/>
                <w:szCs w:val="20"/>
              </w:rPr>
            </w:pPr>
            <w:r w:rsidRPr="00900F10">
              <w:rPr>
                <w:rFonts w:ascii="Calibri" w:hAnsi="Calibri"/>
                <w:sz w:val="20"/>
                <w:szCs w:val="20"/>
              </w:rPr>
              <w:t>16.</w:t>
            </w:r>
          </w:p>
        </w:tc>
        <w:tc>
          <w:tcPr>
            <w:tcW w:w="3827" w:type="dxa"/>
            <w:tcBorders>
              <w:top w:val="nil"/>
              <w:left w:val="nil"/>
              <w:bottom w:val="single" w:sz="4" w:space="0" w:color="auto"/>
              <w:right w:val="single" w:sz="4" w:space="0" w:color="auto"/>
            </w:tcBorders>
            <w:shd w:val="clear" w:color="000000" w:fill="FFFFFF"/>
            <w:vAlign w:val="center"/>
            <w:hideMark/>
          </w:tcPr>
          <w:p w14:paraId="27C20377" w14:textId="77777777" w:rsidR="00900F10" w:rsidRPr="00900F10" w:rsidRDefault="00900F10" w:rsidP="00900F10">
            <w:pPr>
              <w:rPr>
                <w:rFonts w:ascii="Calibri" w:hAnsi="Calibri"/>
                <w:sz w:val="20"/>
                <w:szCs w:val="20"/>
              </w:rPr>
            </w:pPr>
            <w:r w:rsidRPr="00900F10">
              <w:rPr>
                <w:rFonts w:ascii="Calibri" w:hAnsi="Calibri"/>
                <w:sz w:val="20"/>
                <w:szCs w:val="20"/>
              </w:rPr>
              <w:t>JU VIRS Dr Vaso Butozan</w:t>
            </w:r>
          </w:p>
        </w:tc>
        <w:tc>
          <w:tcPr>
            <w:tcW w:w="2410" w:type="dxa"/>
            <w:tcBorders>
              <w:top w:val="nil"/>
              <w:left w:val="nil"/>
              <w:bottom w:val="single" w:sz="4" w:space="0" w:color="auto"/>
              <w:right w:val="single" w:sz="4" w:space="0" w:color="auto"/>
            </w:tcBorders>
            <w:shd w:val="clear" w:color="000000" w:fill="FFFFFF"/>
            <w:vAlign w:val="center"/>
            <w:hideMark/>
          </w:tcPr>
          <w:p w14:paraId="590BB07D" w14:textId="77777777" w:rsidR="00900F10" w:rsidRPr="00900F10" w:rsidRDefault="00900F10" w:rsidP="00900F10">
            <w:pPr>
              <w:jc w:val="right"/>
              <w:rPr>
                <w:rFonts w:ascii="Calibri" w:hAnsi="Calibri"/>
                <w:sz w:val="20"/>
                <w:szCs w:val="20"/>
              </w:rPr>
            </w:pPr>
            <w:r w:rsidRPr="00900F10">
              <w:rPr>
                <w:rFonts w:ascii="Calibri" w:hAnsi="Calibri"/>
                <w:sz w:val="20"/>
                <w:szCs w:val="20"/>
              </w:rPr>
              <w:t>488.000,00</w:t>
            </w:r>
          </w:p>
        </w:tc>
        <w:tc>
          <w:tcPr>
            <w:tcW w:w="1701" w:type="dxa"/>
            <w:tcBorders>
              <w:top w:val="nil"/>
              <w:left w:val="nil"/>
              <w:bottom w:val="single" w:sz="4" w:space="0" w:color="auto"/>
              <w:right w:val="single" w:sz="4" w:space="0" w:color="auto"/>
            </w:tcBorders>
            <w:shd w:val="clear" w:color="000000" w:fill="FFFFFF"/>
            <w:vAlign w:val="center"/>
            <w:hideMark/>
          </w:tcPr>
          <w:p w14:paraId="307E9775" w14:textId="77777777" w:rsidR="00900F10" w:rsidRPr="00900F10" w:rsidRDefault="00900F10" w:rsidP="00900F10">
            <w:pPr>
              <w:jc w:val="right"/>
              <w:rPr>
                <w:rFonts w:ascii="Calibri" w:hAnsi="Calibri"/>
                <w:sz w:val="20"/>
                <w:szCs w:val="20"/>
              </w:rPr>
            </w:pPr>
            <w:r w:rsidRPr="00900F10">
              <w:rPr>
                <w:rFonts w:ascii="Calibri" w:hAnsi="Calibri"/>
                <w:sz w:val="20"/>
                <w:szCs w:val="20"/>
              </w:rPr>
              <w:t>146.400,00</w:t>
            </w:r>
          </w:p>
        </w:tc>
      </w:tr>
      <w:tr w:rsidR="00900F10" w:rsidRPr="00900F10" w14:paraId="43647107" w14:textId="77777777" w:rsidTr="00900F10">
        <w:trPr>
          <w:trHeight w:val="269"/>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921EF8F" w14:textId="77777777" w:rsidR="00900F10" w:rsidRPr="00900F10" w:rsidRDefault="00900F10" w:rsidP="00900F10">
            <w:pPr>
              <w:jc w:val="center"/>
              <w:rPr>
                <w:rFonts w:ascii="Calibri" w:hAnsi="Calibri"/>
                <w:sz w:val="20"/>
                <w:szCs w:val="20"/>
              </w:rPr>
            </w:pPr>
            <w:r w:rsidRPr="00900F10">
              <w:rPr>
                <w:rFonts w:ascii="Calibri" w:hAnsi="Calibri"/>
                <w:sz w:val="20"/>
                <w:szCs w:val="20"/>
              </w:rPr>
              <w:t>17.</w:t>
            </w:r>
          </w:p>
        </w:tc>
        <w:tc>
          <w:tcPr>
            <w:tcW w:w="3827" w:type="dxa"/>
            <w:tcBorders>
              <w:top w:val="nil"/>
              <w:left w:val="nil"/>
              <w:bottom w:val="single" w:sz="4" w:space="0" w:color="auto"/>
              <w:right w:val="single" w:sz="4" w:space="0" w:color="auto"/>
            </w:tcBorders>
            <w:shd w:val="clear" w:color="000000" w:fill="FFFFFF"/>
            <w:vAlign w:val="center"/>
            <w:hideMark/>
          </w:tcPr>
          <w:p w14:paraId="15EFF720" w14:textId="7E0B108D" w:rsidR="00900F10" w:rsidRPr="00900F10" w:rsidRDefault="00F9654C" w:rsidP="00900F10">
            <w:pPr>
              <w:rPr>
                <w:rFonts w:ascii="Calibri" w:hAnsi="Calibri"/>
                <w:sz w:val="20"/>
                <w:szCs w:val="20"/>
              </w:rPr>
            </w:pPr>
            <w:r>
              <w:rPr>
                <w:rFonts w:ascii="Calibri" w:hAnsi="Calibri"/>
                <w:sz w:val="20"/>
                <w:szCs w:val="20"/>
              </w:rPr>
              <w:t>Žarson</w:t>
            </w:r>
            <w:r w:rsidR="00900F10" w:rsidRPr="00900F10">
              <w:rPr>
                <w:rFonts w:ascii="Calibri" w:hAnsi="Calibri"/>
                <w:sz w:val="20"/>
                <w:szCs w:val="20"/>
              </w:rPr>
              <w:t xml:space="preserve"> d.o.o. Sokolac</w:t>
            </w:r>
          </w:p>
        </w:tc>
        <w:tc>
          <w:tcPr>
            <w:tcW w:w="2410" w:type="dxa"/>
            <w:tcBorders>
              <w:top w:val="nil"/>
              <w:left w:val="nil"/>
              <w:bottom w:val="single" w:sz="4" w:space="0" w:color="auto"/>
              <w:right w:val="single" w:sz="4" w:space="0" w:color="auto"/>
            </w:tcBorders>
            <w:shd w:val="clear" w:color="000000" w:fill="FFFFFF"/>
            <w:vAlign w:val="center"/>
            <w:hideMark/>
          </w:tcPr>
          <w:p w14:paraId="31E8469D" w14:textId="77777777" w:rsidR="00900F10" w:rsidRPr="00900F10" w:rsidRDefault="00900F10" w:rsidP="00900F10">
            <w:pPr>
              <w:jc w:val="right"/>
              <w:rPr>
                <w:rFonts w:ascii="Calibri" w:hAnsi="Calibri"/>
                <w:sz w:val="20"/>
                <w:szCs w:val="20"/>
              </w:rPr>
            </w:pPr>
            <w:r w:rsidRPr="00900F10">
              <w:rPr>
                <w:rFonts w:ascii="Calibri" w:hAnsi="Calibri"/>
                <w:sz w:val="20"/>
                <w:szCs w:val="20"/>
              </w:rPr>
              <w:t>820.000,00</w:t>
            </w:r>
          </w:p>
        </w:tc>
        <w:tc>
          <w:tcPr>
            <w:tcW w:w="1701" w:type="dxa"/>
            <w:tcBorders>
              <w:top w:val="nil"/>
              <w:left w:val="nil"/>
              <w:bottom w:val="single" w:sz="4" w:space="0" w:color="auto"/>
              <w:right w:val="single" w:sz="4" w:space="0" w:color="auto"/>
            </w:tcBorders>
            <w:shd w:val="clear" w:color="000000" w:fill="FFFFFF"/>
            <w:vAlign w:val="center"/>
            <w:hideMark/>
          </w:tcPr>
          <w:p w14:paraId="36E9D385" w14:textId="77777777" w:rsidR="00900F10" w:rsidRPr="00900F10" w:rsidRDefault="00900F10" w:rsidP="00900F10">
            <w:pPr>
              <w:jc w:val="right"/>
              <w:rPr>
                <w:rFonts w:ascii="Calibri" w:hAnsi="Calibri"/>
                <w:sz w:val="20"/>
                <w:szCs w:val="20"/>
              </w:rPr>
            </w:pPr>
            <w:r w:rsidRPr="00900F10">
              <w:rPr>
                <w:rFonts w:ascii="Calibri" w:hAnsi="Calibri"/>
                <w:sz w:val="20"/>
                <w:szCs w:val="20"/>
              </w:rPr>
              <w:t>286.918,00</w:t>
            </w:r>
          </w:p>
        </w:tc>
      </w:tr>
      <w:tr w:rsidR="00900F10" w:rsidRPr="00900F10" w14:paraId="26B199A1" w14:textId="77777777" w:rsidTr="00900F10">
        <w:trPr>
          <w:trHeight w:val="269"/>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F50FFF7" w14:textId="77777777" w:rsidR="00900F10" w:rsidRPr="00900F10" w:rsidRDefault="00900F10" w:rsidP="00900F10">
            <w:pPr>
              <w:jc w:val="center"/>
              <w:rPr>
                <w:rFonts w:ascii="Calibri" w:hAnsi="Calibri"/>
                <w:sz w:val="20"/>
                <w:szCs w:val="20"/>
              </w:rPr>
            </w:pPr>
            <w:r w:rsidRPr="00900F10">
              <w:rPr>
                <w:rFonts w:ascii="Calibri" w:hAnsi="Calibri"/>
                <w:sz w:val="20"/>
                <w:szCs w:val="20"/>
              </w:rPr>
              <w:t>18.</w:t>
            </w:r>
          </w:p>
        </w:tc>
        <w:tc>
          <w:tcPr>
            <w:tcW w:w="3827" w:type="dxa"/>
            <w:tcBorders>
              <w:top w:val="nil"/>
              <w:left w:val="nil"/>
              <w:bottom w:val="single" w:sz="4" w:space="0" w:color="auto"/>
              <w:right w:val="single" w:sz="4" w:space="0" w:color="auto"/>
            </w:tcBorders>
            <w:shd w:val="clear" w:color="000000" w:fill="FFFFFF"/>
            <w:vAlign w:val="center"/>
            <w:hideMark/>
          </w:tcPr>
          <w:p w14:paraId="6178B28C" w14:textId="77777777" w:rsidR="00900F10" w:rsidRPr="00900F10" w:rsidRDefault="00900F10" w:rsidP="00900F10">
            <w:pPr>
              <w:rPr>
                <w:rFonts w:ascii="Calibri" w:hAnsi="Calibri"/>
                <w:sz w:val="20"/>
                <w:szCs w:val="20"/>
              </w:rPr>
            </w:pPr>
            <w:r w:rsidRPr="00900F10">
              <w:rPr>
                <w:rFonts w:ascii="Calibri" w:hAnsi="Calibri"/>
                <w:sz w:val="20"/>
                <w:szCs w:val="20"/>
              </w:rPr>
              <w:t>Stolarija Podromanija d.o.o. Sokolac</w:t>
            </w:r>
          </w:p>
        </w:tc>
        <w:tc>
          <w:tcPr>
            <w:tcW w:w="2410" w:type="dxa"/>
            <w:tcBorders>
              <w:top w:val="nil"/>
              <w:left w:val="nil"/>
              <w:bottom w:val="single" w:sz="4" w:space="0" w:color="auto"/>
              <w:right w:val="single" w:sz="4" w:space="0" w:color="auto"/>
            </w:tcBorders>
            <w:shd w:val="clear" w:color="000000" w:fill="FFFFFF"/>
            <w:vAlign w:val="center"/>
            <w:hideMark/>
          </w:tcPr>
          <w:p w14:paraId="6E667C99" w14:textId="77777777" w:rsidR="00900F10" w:rsidRPr="00900F10" w:rsidRDefault="00900F10" w:rsidP="00900F10">
            <w:pPr>
              <w:jc w:val="right"/>
              <w:rPr>
                <w:rFonts w:ascii="Calibri" w:hAnsi="Calibri"/>
                <w:sz w:val="20"/>
                <w:szCs w:val="20"/>
              </w:rPr>
            </w:pPr>
            <w:r w:rsidRPr="00900F10">
              <w:rPr>
                <w:rFonts w:ascii="Calibri" w:hAnsi="Calibri"/>
                <w:sz w:val="20"/>
                <w:szCs w:val="20"/>
              </w:rPr>
              <w:t>800.000,00</w:t>
            </w:r>
          </w:p>
        </w:tc>
        <w:tc>
          <w:tcPr>
            <w:tcW w:w="1701" w:type="dxa"/>
            <w:tcBorders>
              <w:top w:val="nil"/>
              <w:left w:val="nil"/>
              <w:bottom w:val="single" w:sz="4" w:space="0" w:color="auto"/>
              <w:right w:val="single" w:sz="4" w:space="0" w:color="auto"/>
            </w:tcBorders>
            <w:shd w:val="clear" w:color="000000" w:fill="FFFFFF"/>
            <w:vAlign w:val="center"/>
            <w:hideMark/>
          </w:tcPr>
          <w:p w14:paraId="6CC6EE51" w14:textId="77777777" w:rsidR="00900F10" w:rsidRPr="00900F10" w:rsidRDefault="00900F10" w:rsidP="00900F10">
            <w:pPr>
              <w:jc w:val="right"/>
              <w:rPr>
                <w:rFonts w:ascii="Calibri" w:hAnsi="Calibri"/>
                <w:sz w:val="20"/>
                <w:szCs w:val="20"/>
              </w:rPr>
            </w:pPr>
            <w:r w:rsidRPr="00900F10">
              <w:rPr>
                <w:rFonts w:ascii="Calibri" w:hAnsi="Calibri"/>
                <w:sz w:val="20"/>
                <w:szCs w:val="20"/>
              </w:rPr>
              <w:t>350.000,00</w:t>
            </w:r>
          </w:p>
        </w:tc>
      </w:tr>
      <w:tr w:rsidR="00900F10" w:rsidRPr="00900F10" w14:paraId="6FA8426C" w14:textId="77777777" w:rsidTr="00900F10">
        <w:trPr>
          <w:trHeight w:val="287"/>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65F873D" w14:textId="77777777" w:rsidR="00900F10" w:rsidRPr="00900F10" w:rsidRDefault="00900F10" w:rsidP="00900F10">
            <w:pPr>
              <w:jc w:val="center"/>
              <w:rPr>
                <w:rFonts w:ascii="Calibri" w:hAnsi="Calibri"/>
                <w:sz w:val="20"/>
                <w:szCs w:val="20"/>
              </w:rPr>
            </w:pPr>
            <w:r w:rsidRPr="00900F10">
              <w:rPr>
                <w:rFonts w:ascii="Calibri" w:hAnsi="Calibri"/>
                <w:sz w:val="20"/>
                <w:szCs w:val="20"/>
              </w:rPr>
              <w:t>19.</w:t>
            </w:r>
          </w:p>
        </w:tc>
        <w:tc>
          <w:tcPr>
            <w:tcW w:w="3827" w:type="dxa"/>
            <w:tcBorders>
              <w:top w:val="nil"/>
              <w:left w:val="nil"/>
              <w:bottom w:val="single" w:sz="4" w:space="0" w:color="auto"/>
              <w:right w:val="single" w:sz="4" w:space="0" w:color="auto"/>
            </w:tcBorders>
            <w:shd w:val="clear" w:color="000000" w:fill="FFFFFF"/>
            <w:vAlign w:val="center"/>
            <w:hideMark/>
          </w:tcPr>
          <w:p w14:paraId="19D3E928" w14:textId="77777777" w:rsidR="00900F10" w:rsidRPr="00900F10" w:rsidRDefault="00900F10" w:rsidP="00900F10">
            <w:pPr>
              <w:rPr>
                <w:rFonts w:ascii="Calibri" w:hAnsi="Calibri"/>
                <w:sz w:val="20"/>
                <w:szCs w:val="20"/>
              </w:rPr>
            </w:pPr>
            <w:r w:rsidRPr="00900F10">
              <w:rPr>
                <w:rFonts w:ascii="Calibri" w:hAnsi="Calibri"/>
                <w:sz w:val="20"/>
                <w:szCs w:val="20"/>
              </w:rPr>
              <w:t>Stolarija Podromanija d.o.o. Sokolac</w:t>
            </w:r>
          </w:p>
        </w:tc>
        <w:tc>
          <w:tcPr>
            <w:tcW w:w="2410" w:type="dxa"/>
            <w:tcBorders>
              <w:top w:val="nil"/>
              <w:left w:val="nil"/>
              <w:bottom w:val="single" w:sz="4" w:space="0" w:color="auto"/>
              <w:right w:val="single" w:sz="4" w:space="0" w:color="auto"/>
            </w:tcBorders>
            <w:shd w:val="clear" w:color="000000" w:fill="FFFFFF"/>
            <w:vAlign w:val="center"/>
            <w:hideMark/>
          </w:tcPr>
          <w:p w14:paraId="71A46DA2" w14:textId="77777777" w:rsidR="00900F10" w:rsidRPr="00900F10" w:rsidRDefault="00900F10" w:rsidP="00900F10">
            <w:pPr>
              <w:jc w:val="right"/>
              <w:rPr>
                <w:rFonts w:ascii="Calibri" w:hAnsi="Calibri"/>
                <w:sz w:val="20"/>
                <w:szCs w:val="20"/>
              </w:rPr>
            </w:pPr>
            <w:r w:rsidRPr="00900F10">
              <w:rPr>
                <w:rFonts w:ascii="Calibri" w:hAnsi="Calibri"/>
                <w:sz w:val="20"/>
                <w:szCs w:val="20"/>
              </w:rPr>
              <w:t>600.000,00</w:t>
            </w:r>
          </w:p>
        </w:tc>
        <w:tc>
          <w:tcPr>
            <w:tcW w:w="1701" w:type="dxa"/>
            <w:tcBorders>
              <w:top w:val="nil"/>
              <w:left w:val="nil"/>
              <w:bottom w:val="single" w:sz="4" w:space="0" w:color="auto"/>
              <w:right w:val="single" w:sz="4" w:space="0" w:color="auto"/>
            </w:tcBorders>
            <w:shd w:val="clear" w:color="000000" w:fill="FFFFFF"/>
            <w:vAlign w:val="center"/>
            <w:hideMark/>
          </w:tcPr>
          <w:p w14:paraId="4C0ED257" w14:textId="77777777" w:rsidR="00900F10" w:rsidRPr="00900F10" w:rsidRDefault="00900F10" w:rsidP="00900F10">
            <w:pPr>
              <w:jc w:val="right"/>
              <w:rPr>
                <w:rFonts w:ascii="Calibri" w:hAnsi="Calibri"/>
                <w:sz w:val="20"/>
                <w:szCs w:val="20"/>
              </w:rPr>
            </w:pPr>
            <w:r w:rsidRPr="00900F10">
              <w:rPr>
                <w:rFonts w:ascii="Calibri" w:hAnsi="Calibri"/>
                <w:sz w:val="20"/>
                <w:szCs w:val="20"/>
              </w:rPr>
              <w:t>180.000,00</w:t>
            </w:r>
          </w:p>
        </w:tc>
      </w:tr>
      <w:tr w:rsidR="00900F10" w:rsidRPr="00900F10" w14:paraId="495B8DC1" w14:textId="77777777" w:rsidTr="00900F10">
        <w:trPr>
          <w:trHeight w:val="271"/>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5091BE0" w14:textId="77777777" w:rsidR="00900F10" w:rsidRPr="00900F10" w:rsidRDefault="00900F10" w:rsidP="00900F10">
            <w:pPr>
              <w:jc w:val="center"/>
              <w:rPr>
                <w:rFonts w:ascii="Calibri" w:hAnsi="Calibri"/>
                <w:sz w:val="20"/>
                <w:szCs w:val="20"/>
              </w:rPr>
            </w:pPr>
            <w:r w:rsidRPr="00900F10">
              <w:rPr>
                <w:rFonts w:ascii="Calibri" w:hAnsi="Calibri"/>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14:paraId="697F36EA" w14:textId="77777777" w:rsidR="00900F10" w:rsidRPr="00900F10" w:rsidRDefault="00900F10" w:rsidP="00900F10">
            <w:pPr>
              <w:rPr>
                <w:rFonts w:ascii="Calibri" w:hAnsi="Calibri"/>
                <w:sz w:val="20"/>
                <w:szCs w:val="20"/>
              </w:rPr>
            </w:pPr>
            <w:r w:rsidRPr="00900F10">
              <w:rPr>
                <w:rFonts w:ascii="Calibri" w:hAnsi="Calibri"/>
                <w:sz w:val="20"/>
                <w:szCs w:val="20"/>
              </w:rPr>
              <w:t>Pileprom d.o.o. Kaoci, Srbac</w:t>
            </w:r>
          </w:p>
        </w:tc>
        <w:tc>
          <w:tcPr>
            <w:tcW w:w="2410" w:type="dxa"/>
            <w:tcBorders>
              <w:top w:val="nil"/>
              <w:left w:val="nil"/>
              <w:bottom w:val="single" w:sz="4" w:space="0" w:color="auto"/>
              <w:right w:val="single" w:sz="4" w:space="0" w:color="auto"/>
            </w:tcBorders>
            <w:shd w:val="clear" w:color="000000" w:fill="FFFFFF"/>
            <w:vAlign w:val="center"/>
            <w:hideMark/>
          </w:tcPr>
          <w:p w14:paraId="506AA758" w14:textId="77777777" w:rsidR="00900F10" w:rsidRPr="00900F10" w:rsidRDefault="00900F10" w:rsidP="00900F10">
            <w:pPr>
              <w:jc w:val="right"/>
              <w:rPr>
                <w:rFonts w:ascii="Calibri" w:hAnsi="Calibri"/>
                <w:sz w:val="20"/>
                <w:szCs w:val="20"/>
              </w:rPr>
            </w:pPr>
            <w:r w:rsidRPr="00900F10">
              <w:rPr>
                <w:rFonts w:ascii="Calibri" w:hAnsi="Calibri"/>
                <w:sz w:val="20"/>
                <w:szCs w:val="20"/>
              </w:rPr>
              <w:t>200.000,00</w:t>
            </w:r>
          </w:p>
        </w:tc>
        <w:tc>
          <w:tcPr>
            <w:tcW w:w="1701" w:type="dxa"/>
            <w:tcBorders>
              <w:top w:val="nil"/>
              <w:left w:val="nil"/>
              <w:bottom w:val="single" w:sz="4" w:space="0" w:color="auto"/>
              <w:right w:val="single" w:sz="4" w:space="0" w:color="auto"/>
            </w:tcBorders>
            <w:shd w:val="clear" w:color="000000" w:fill="FFFFFF"/>
            <w:vAlign w:val="center"/>
            <w:hideMark/>
          </w:tcPr>
          <w:p w14:paraId="26A2A9DF" w14:textId="77777777" w:rsidR="00900F10" w:rsidRPr="00900F10" w:rsidRDefault="00900F10" w:rsidP="00900F10">
            <w:pPr>
              <w:jc w:val="right"/>
              <w:rPr>
                <w:rFonts w:ascii="Calibri" w:hAnsi="Calibri"/>
                <w:sz w:val="20"/>
                <w:szCs w:val="20"/>
              </w:rPr>
            </w:pPr>
            <w:r w:rsidRPr="00900F10">
              <w:rPr>
                <w:rFonts w:ascii="Calibri" w:hAnsi="Calibri"/>
                <w:sz w:val="20"/>
                <w:szCs w:val="20"/>
              </w:rPr>
              <w:t>100.000,00</w:t>
            </w:r>
          </w:p>
        </w:tc>
      </w:tr>
      <w:tr w:rsidR="00900F10" w:rsidRPr="00900F10" w14:paraId="565449E9" w14:textId="77777777" w:rsidTr="00900F10">
        <w:trPr>
          <w:trHeight w:val="27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859F25D" w14:textId="77777777" w:rsidR="00900F10" w:rsidRPr="00900F10" w:rsidRDefault="00900F10" w:rsidP="00900F10">
            <w:pPr>
              <w:jc w:val="center"/>
              <w:rPr>
                <w:rFonts w:ascii="Calibri" w:hAnsi="Calibri"/>
                <w:sz w:val="20"/>
                <w:szCs w:val="20"/>
              </w:rPr>
            </w:pPr>
            <w:r w:rsidRPr="00900F10">
              <w:rPr>
                <w:rFonts w:ascii="Calibri" w:hAnsi="Calibri"/>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14:paraId="0DB3BE0B" w14:textId="77777777" w:rsidR="00900F10" w:rsidRPr="00900F10" w:rsidRDefault="00900F10" w:rsidP="00900F10">
            <w:pPr>
              <w:rPr>
                <w:rFonts w:ascii="Calibri" w:hAnsi="Calibri"/>
                <w:sz w:val="20"/>
                <w:szCs w:val="20"/>
              </w:rPr>
            </w:pPr>
            <w:r w:rsidRPr="00900F10">
              <w:rPr>
                <w:rFonts w:ascii="Calibri" w:hAnsi="Calibri"/>
                <w:sz w:val="20"/>
                <w:szCs w:val="20"/>
              </w:rPr>
              <w:t>Nova dipo d.o.o. Gornji Podgradci</w:t>
            </w:r>
          </w:p>
        </w:tc>
        <w:tc>
          <w:tcPr>
            <w:tcW w:w="2410" w:type="dxa"/>
            <w:tcBorders>
              <w:top w:val="nil"/>
              <w:left w:val="nil"/>
              <w:bottom w:val="single" w:sz="4" w:space="0" w:color="auto"/>
              <w:right w:val="single" w:sz="4" w:space="0" w:color="auto"/>
            </w:tcBorders>
            <w:shd w:val="clear" w:color="000000" w:fill="FFFFFF"/>
            <w:vAlign w:val="center"/>
            <w:hideMark/>
          </w:tcPr>
          <w:p w14:paraId="438E60D2"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1.500.000,00</w:t>
            </w:r>
          </w:p>
        </w:tc>
        <w:tc>
          <w:tcPr>
            <w:tcW w:w="1701" w:type="dxa"/>
            <w:tcBorders>
              <w:top w:val="nil"/>
              <w:left w:val="nil"/>
              <w:bottom w:val="single" w:sz="4" w:space="0" w:color="auto"/>
              <w:right w:val="single" w:sz="4" w:space="0" w:color="auto"/>
            </w:tcBorders>
            <w:shd w:val="clear" w:color="000000" w:fill="FFFFFF"/>
            <w:vAlign w:val="center"/>
            <w:hideMark/>
          </w:tcPr>
          <w:p w14:paraId="4825344D" w14:textId="77777777" w:rsidR="00900F10" w:rsidRPr="00900F10" w:rsidRDefault="00900F10" w:rsidP="00900F10">
            <w:pPr>
              <w:jc w:val="right"/>
              <w:rPr>
                <w:rFonts w:ascii="Calibri" w:hAnsi="Calibri"/>
                <w:sz w:val="20"/>
                <w:szCs w:val="20"/>
              </w:rPr>
            </w:pPr>
            <w:r w:rsidRPr="00900F10">
              <w:rPr>
                <w:rFonts w:ascii="Calibri" w:hAnsi="Calibri"/>
                <w:sz w:val="20"/>
                <w:szCs w:val="20"/>
              </w:rPr>
              <w:t>1.050.000,00</w:t>
            </w:r>
          </w:p>
        </w:tc>
      </w:tr>
      <w:tr w:rsidR="00900F10" w:rsidRPr="00900F10" w14:paraId="26F4EBD7" w14:textId="77777777" w:rsidTr="00900F10">
        <w:trPr>
          <w:trHeight w:val="282"/>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AA4449C" w14:textId="77777777" w:rsidR="00900F10" w:rsidRPr="00900F10" w:rsidRDefault="00900F10" w:rsidP="00900F10">
            <w:pPr>
              <w:jc w:val="center"/>
              <w:rPr>
                <w:rFonts w:ascii="Calibri" w:hAnsi="Calibri"/>
                <w:sz w:val="20"/>
                <w:szCs w:val="20"/>
              </w:rPr>
            </w:pPr>
            <w:r w:rsidRPr="00900F10">
              <w:rPr>
                <w:rFonts w:ascii="Calibri" w:hAnsi="Calibri"/>
                <w:sz w:val="20"/>
                <w:szCs w:val="20"/>
              </w:rPr>
              <w:t>22.</w:t>
            </w:r>
          </w:p>
        </w:tc>
        <w:tc>
          <w:tcPr>
            <w:tcW w:w="3827" w:type="dxa"/>
            <w:tcBorders>
              <w:top w:val="nil"/>
              <w:left w:val="nil"/>
              <w:bottom w:val="single" w:sz="4" w:space="0" w:color="auto"/>
              <w:right w:val="single" w:sz="4" w:space="0" w:color="auto"/>
            </w:tcBorders>
            <w:shd w:val="clear" w:color="000000" w:fill="FFFFFF"/>
            <w:vAlign w:val="center"/>
            <w:hideMark/>
          </w:tcPr>
          <w:p w14:paraId="0AE91421" w14:textId="77777777" w:rsidR="00900F10" w:rsidRPr="00900F10" w:rsidRDefault="00900F10" w:rsidP="00900F10">
            <w:pPr>
              <w:rPr>
                <w:rFonts w:ascii="Calibri" w:hAnsi="Calibri"/>
                <w:sz w:val="20"/>
                <w:szCs w:val="20"/>
              </w:rPr>
            </w:pPr>
            <w:r w:rsidRPr="00900F10">
              <w:rPr>
                <w:rFonts w:ascii="Calibri" w:hAnsi="Calibri"/>
                <w:sz w:val="20"/>
                <w:szCs w:val="20"/>
              </w:rPr>
              <w:t>Mane Komerc d.o.o. Srbac</w:t>
            </w:r>
          </w:p>
        </w:tc>
        <w:tc>
          <w:tcPr>
            <w:tcW w:w="2410" w:type="dxa"/>
            <w:tcBorders>
              <w:top w:val="nil"/>
              <w:left w:val="nil"/>
              <w:bottom w:val="single" w:sz="4" w:space="0" w:color="auto"/>
              <w:right w:val="single" w:sz="4" w:space="0" w:color="auto"/>
            </w:tcBorders>
            <w:shd w:val="clear" w:color="000000" w:fill="FFFFFF"/>
            <w:vAlign w:val="center"/>
            <w:hideMark/>
          </w:tcPr>
          <w:p w14:paraId="2AB5E86B" w14:textId="77777777" w:rsidR="00900F10" w:rsidRPr="00900F10" w:rsidRDefault="00900F10" w:rsidP="00900F10">
            <w:pPr>
              <w:jc w:val="right"/>
              <w:rPr>
                <w:rFonts w:ascii="Calibri" w:hAnsi="Calibri"/>
                <w:sz w:val="20"/>
                <w:szCs w:val="20"/>
              </w:rPr>
            </w:pPr>
            <w:r w:rsidRPr="00900F10">
              <w:rPr>
                <w:rFonts w:ascii="Calibri" w:hAnsi="Calibri"/>
                <w:sz w:val="20"/>
                <w:szCs w:val="20"/>
              </w:rPr>
              <w:t>4.500.000,00</w:t>
            </w:r>
          </w:p>
        </w:tc>
        <w:tc>
          <w:tcPr>
            <w:tcW w:w="1701" w:type="dxa"/>
            <w:tcBorders>
              <w:top w:val="nil"/>
              <w:left w:val="nil"/>
              <w:bottom w:val="single" w:sz="4" w:space="0" w:color="auto"/>
              <w:right w:val="single" w:sz="4" w:space="0" w:color="auto"/>
            </w:tcBorders>
            <w:shd w:val="clear" w:color="000000" w:fill="FFFFFF"/>
            <w:vAlign w:val="center"/>
            <w:hideMark/>
          </w:tcPr>
          <w:p w14:paraId="1FA20DB7" w14:textId="77777777" w:rsidR="00900F10" w:rsidRPr="00900F10" w:rsidRDefault="00900F10" w:rsidP="00900F10">
            <w:pPr>
              <w:jc w:val="right"/>
              <w:rPr>
                <w:rFonts w:ascii="Calibri" w:hAnsi="Calibri"/>
                <w:sz w:val="20"/>
                <w:szCs w:val="20"/>
              </w:rPr>
            </w:pPr>
            <w:r w:rsidRPr="00900F10">
              <w:rPr>
                <w:rFonts w:ascii="Calibri" w:hAnsi="Calibri"/>
                <w:sz w:val="20"/>
                <w:szCs w:val="20"/>
              </w:rPr>
              <w:t>1.500.000,00</w:t>
            </w:r>
          </w:p>
        </w:tc>
      </w:tr>
      <w:tr w:rsidR="00900F10" w:rsidRPr="00900F10" w14:paraId="08F802B5" w14:textId="77777777" w:rsidTr="00900F10">
        <w:trPr>
          <w:trHeight w:val="315"/>
        </w:trPr>
        <w:tc>
          <w:tcPr>
            <w:tcW w:w="4678" w:type="dxa"/>
            <w:gridSpan w:val="2"/>
            <w:tcBorders>
              <w:top w:val="single" w:sz="4" w:space="0" w:color="auto"/>
              <w:left w:val="single" w:sz="4" w:space="0" w:color="auto"/>
              <w:bottom w:val="single" w:sz="4" w:space="0" w:color="auto"/>
              <w:right w:val="single" w:sz="4" w:space="0" w:color="000000"/>
            </w:tcBorders>
            <w:shd w:val="clear" w:color="000000" w:fill="548DD4"/>
            <w:vAlign w:val="center"/>
            <w:hideMark/>
          </w:tcPr>
          <w:p w14:paraId="1D086017" w14:textId="59202A6F" w:rsidR="00900F10" w:rsidRPr="00900F10" w:rsidRDefault="00900F10" w:rsidP="00900F10">
            <w:pPr>
              <w:jc w:val="center"/>
              <w:rPr>
                <w:rFonts w:ascii="Calibri" w:hAnsi="Calibri"/>
                <w:b/>
                <w:bCs/>
                <w:sz w:val="20"/>
                <w:szCs w:val="20"/>
              </w:rPr>
            </w:pPr>
            <w:r w:rsidRPr="00900F10">
              <w:rPr>
                <w:rFonts w:ascii="Calibri" w:hAnsi="Calibri"/>
                <w:b/>
                <w:bCs/>
                <w:sz w:val="20"/>
                <w:szCs w:val="20"/>
              </w:rPr>
              <w:t>U</w:t>
            </w:r>
            <w:r w:rsidR="00E72BA2">
              <w:rPr>
                <w:rFonts w:ascii="Calibri" w:hAnsi="Calibri"/>
                <w:b/>
                <w:bCs/>
                <w:sz w:val="20"/>
                <w:szCs w:val="20"/>
              </w:rPr>
              <w:t xml:space="preserve">KUPNO                                               </w:t>
            </w:r>
            <w:r w:rsidRPr="00900F10">
              <w:rPr>
                <w:rFonts w:ascii="Calibri" w:hAnsi="Calibri"/>
                <w:b/>
                <w:bCs/>
                <w:sz w:val="20"/>
                <w:szCs w:val="20"/>
              </w:rPr>
              <w:t xml:space="preserve"> 22</w:t>
            </w:r>
          </w:p>
        </w:tc>
        <w:tc>
          <w:tcPr>
            <w:tcW w:w="2410" w:type="dxa"/>
            <w:tcBorders>
              <w:top w:val="nil"/>
              <w:left w:val="nil"/>
              <w:bottom w:val="single" w:sz="4" w:space="0" w:color="auto"/>
              <w:right w:val="single" w:sz="4" w:space="0" w:color="auto"/>
            </w:tcBorders>
            <w:shd w:val="clear" w:color="000000" w:fill="548DD4"/>
            <w:vAlign w:val="center"/>
            <w:hideMark/>
          </w:tcPr>
          <w:p w14:paraId="655B02AF" w14:textId="77777777" w:rsidR="00900F10" w:rsidRPr="00900F10" w:rsidRDefault="00900F10" w:rsidP="00900F10">
            <w:pPr>
              <w:jc w:val="right"/>
              <w:rPr>
                <w:rFonts w:ascii="Calibri" w:hAnsi="Calibri"/>
                <w:b/>
                <w:bCs/>
                <w:color w:val="auto"/>
                <w:sz w:val="20"/>
                <w:szCs w:val="20"/>
              </w:rPr>
            </w:pPr>
            <w:r w:rsidRPr="00900F10">
              <w:rPr>
                <w:rFonts w:ascii="Calibri" w:hAnsi="Calibri"/>
                <w:b/>
                <w:bCs/>
                <w:color w:val="auto"/>
                <w:sz w:val="20"/>
                <w:szCs w:val="20"/>
              </w:rPr>
              <w:t>15.086.900,00</w:t>
            </w:r>
          </w:p>
        </w:tc>
        <w:tc>
          <w:tcPr>
            <w:tcW w:w="1701" w:type="dxa"/>
            <w:tcBorders>
              <w:top w:val="nil"/>
              <w:left w:val="nil"/>
              <w:bottom w:val="single" w:sz="4" w:space="0" w:color="auto"/>
              <w:right w:val="single" w:sz="4" w:space="0" w:color="auto"/>
            </w:tcBorders>
            <w:shd w:val="clear" w:color="000000" w:fill="548DD4"/>
            <w:vAlign w:val="center"/>
            <w:hideMark/>
          </w:tcPr>
          <w:p w14:paraId="6F82D37B" w14:textId="77777777" w:rsidR="00900F10" w:rsidRPr="00900F10" w:rsidRDefault="00900F10" w:rsidP="00900F10">
            <w:pPr>
              <w:jc w:val="right"/>
              <w:rPr>
                <w:rFonts w:ascii="Calibri" w:hAnsi="Calibri"/>
                <w:b/>
                <w:bCs/>
                <w:color w:val="auto"/>
                <w:sz w:val="20"/>
                <w:szCs w:val="20"/>
              </w:rPr>
            </w:pPr>
            <w:r>
              <w:rPr>
                <w:rFonts w:ascii="Calibri" w:hAnsi="Calibri"/>
                <w:b/>
                <w:bCs/>
                <w:color w:val="auto"/>
                <w:sz w:val="20"/>
                <w:szCs w:val="20"/>
              </w:rPr>
              <w:t>6.943.296,00</w:t>
            </w:r>
          </w:p>
        </w:tc>
      </w:tr>
    </w:tbl>
    <w:p w14:paraId="2D8C9852" w14:textId="77777777" w:rsidR="00892214" w:rsidRPr="005767EF" w:rsidRDefault="00900F10" w:rsidP="001538EF">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eastAsia="en-US"/>
        </w:rPr>
        <w:fldChar w:fldCharType="end"/>
      </w:r>
    </w:p>
    <w:p w14:paraId="05BC4EF8" w14:textId="77777777" w:rsidR="00900F10" w:rsidRDefault="00900F10" w:rsidP="001538EF">
      <w:pPr>
        <w:rPr>
          <w:rFonts w:asciiTheme="minorHAnsi" w:eastAsiaTheme="minorHAnsi" w:hAnsiTheme="minorHAnsi"/>
          <w:color w:val="auto"/>
          <w:sz w:val="20"/>
          <w:szCs w:val="20"/>
          <w:lang w:val="sr-Cyrl-BA" w:eastAsia="en-US"/>
        </w:rPr>
      </w:pPr>
    </w:p>
    <w:p w14:paraId="242E3705" w14:textId="77777777" w:rsidR="00900F10" w:rsidRDefault="00892214" w:rsidP="001538EF">
      <w:pPr>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lastRenderedPageBreak/>
        <w:t>Tokom 2023. godine, van snage su stavljene 22 garancije, inicijalno odobrene u iznosu od 6.943.296,00 KM, čime je podržan plasman 15.086.900,00 KM kreditnih sredstava. Garancije su stavljene van snage po 3 osnova – redovnim istekom roka važenja, prijevremenom otplatom od strane korisnika kredita i na osnovu sudske odluke.</w:t>
      </w:r>
    </w:p>
    <w:p w14:paraId="1C0173C4" w14:textId="77777777" w:rsidR="001D6AF5" w:rsidRPr="00DB0D07" w:rsidRDefault="001D6AF5" w:rsidP="001538EF">
      <w:pPr>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 xml:space="preserve"> </w:t>
      </w:r>
    </w:p>
    <w:p w14:paraId="7EC2DB79" w14:textId="77777777" w:rsidR="001538EF" w:rsidRPr="005767EF" w:rsidRDefault="001D6AF5" w:rsidP="001538EF">
      <w:pPr>
        <w:pStyle w:val="ListParagraph"/>
        <w:numPr>
          <w:ilvl w:val="0"/>
          <w:numId w:val="11"/>
        </w:numPr>
        <w:autoSpaceDE w:val="0"/>
        <w:autoSpaceDN w:val="0"/>
        <w:adjustRightInd w:val="0"/>
        <w:rPr>
          <w:rFonts w:asciiTheme="minorHAnsi" w:eastAsiaTheme="minorHAnsi" w:hAnsiTheme="minorHAnsi"/>
          <w:color w:val="auto"/>
          <w:sz w:val="20"/>
          <w:szCs w:val="20"/>
          <w:lang w:val="sr-Latn-BA" w:eastAsia="en-US"/>
        </w:rPr>
      </w:pPr>
      <w:r w:rsidRPr="005767EF">
        <w:rPr>
          <w:rFonts w:asciiTheme="minorHAnsi" w:eastAsiaTheme="minorHAnsi" w:hAnsiTheme="minorHAnsi"/>
          <w:color w:val="auto"/>
          <w:sz w:val="20"/>
          <w:szCs w:val="20"/>
          <w:lang w:eastAsia="en-US"/>
        </w:rPr>
        <w:t>zbog isteka roka važenja, van snage je stavljeno 15 garancija u iznosu od 3.335.378,00 KM;</w:t>
      </w:r>
    </w:p>
    <w:p w14:paraId="146AB6C8" w14:textId="77777777" w:rsidR="004221E8" w:rsidRPr="00900F10" w:rsidRDefault="001538EF" w:rsidP="004221E8">
      <w:pPr>
        <w:pStyle w:val="ListParagraph"/>
        <w:numPr>
          <w:ilvl w:val="0"/>
          <w:numId w:val="11"/>
        </w:numPr>
        <w:autoSpaceDE w:val="0"/>
        <w:autoSpaceDN w:val="0"/>
        <w:adjustRightInd w:val="0"/>
        <w:rPr>
          <w:rFonts w:asciiTheme="minorHAnsi" w:eastAsiaTheme="minorHAnsi" w:hAnsiTheme="minorHAnsi"/>
          <w:color w:val="auto"/>
          <w:sz w:val="20"/>
          <w:szCs w:val="20"/>
          <w:lang w:val="sr-Latn-BA" w:eastAsia="en-US"/>
        </w:rPr>
      </w:pPr>
      <w:r w:rsidRPr="005767EF">
        <w:rPr>
          <w:rFonts w:asciiTheme="minorHAnsi" w:eastAsiaTheme="minorHAnsi" w:hAnsiTheme="minorHAnsi"/>
          <w:color w:val="auto"/>
          <w:sz w:val="20"/>
          <w:szCs w:val="20"/>
          <w:lang w:eastAsia="en-US"/>
        </w:rPr>
        <w:t>zbog prijevremene otplate kredita, van snage je stavljeno 6 garancija u iznosu od 2.107.918,00 KM;</w:t>
      </w:r>
    </w:p>
    <w:p w14:paraId="5CF2DA04" w14:textId="77777777" w:rsidR="00900F10" w:rsidRPr="00444987" w:rsidRDefault="00900F10" w:rsidP="004221E8">
      <w:pPr>
        <w:pStyle w:val="ListParagraph"/>
        <w:numPr>
          <w:ilvl w:val="0"/>
          <w:numId w:val="11"/>
        </w:numPr>
        <w:autoSpaceDE w:val="0"/>
        <w:autoSpaceDN w:val="0"/>
        <w:adjustRightInd w:val="0"/>
        <w:rPr>
          <w:rFonts w:asciiTheme="minorHAnsi" w:eastAsiaTheme="minorHAnsi" w:hAnsiTheme="minorHAnsi"/>
          <w:color w:val="auto"/>
          <w:sz w:val="20"/>
          <w:szCs w:val="20"/>
          <w:lang w:val="sr-Latn-BA" w:eastAsia="en-US"/>
        </w:rPr>
      </w:pPr>
      <w:r>
        <w:rPr>
          <w:rFonts w:asciiTheme="minorHAnsi" w:eastAsiaTheme="minorHAnsi" w:hAnsiTheme="minorHAnsi"/>
          <w:color w:val="auto"/>
          <w:sz w:val="20"/>
          <w:szCs w:val="20"/>
          <w:lang w:eastAsia="en-US"/>
        </w:rPr>
        <w:t xml:space="preserve">na osnovu sudske odluke, van snage je stavljena garancija za klijenta Mane komerc d.o.o. u iznosu od 1.500.000,00 KM. Navedena garancija je protestovana tokom 2022. godine, nakon čega je pokrenut sudski postupak kako bi se utvrdila opravdanost zahtjeva za plaćanje. Garancija je stavljena van snage nakon potpisivanja sporazuma sa Novom bankom a.d. Banja Luka o načinu plaćanja garancije. </w:t>
      </w:r>
    </w:p>
    <w:p w14:paraId="6BA2B09B" w14:textId="77777777" w:rsidR="00444987" w:rsidRPr="00A3442E" w:rsidRDefault="00444987" w:rsidP="00444987">
      <w:pPr>
        <w:pStyle w:val="ListParagraph"/>
        <w:autoSpaceDE w:val="0"/>
        <w:autoSpaceDN w:val="0"/>
        <w:adjustRightInd w:val="0"/>
        <w:rPr>
          <w:rFonts w:asciiTheme="minorHAnsi" w:eastAsiaTheme="minorHAnsi" w:hAnsiTheme="minorHAnsi"/>
          <w:color w:val="auto"/>
          <w:sz w:val="20"/>
          <w:szCs w:val="20"/>
          <w:lang w:val="sr-Latn-BA" w:eastAsia="en-US"/>
        </w:rPr>
      </w:pPr>
    </w:p>
    <w:p w14:paraId="5B5E0C63" w14:textId="77777777" w:rsidR="001538EF" w:rsidRPr="00444987" w:rsidRDefault="001538EF" w:rsidP="00444987">
      <w:pPr>
        <w:autoSpaceDE w:val="0"/>
        <w:autoSpaceDN w:val="0"/>
        <w:adjustRightInd w:val="0"/>
        <w:jc w:val="center"/>
        <w:rPr>
          <w:rFonts w:asciiTheme="minorHAnsi" w:eastAsiaTheme="minorHAnsi" w:hAnsiTheme="minorHAnsi"/>
          <w:b/>
          <w:bCs/>
          <w:color w:val="auto"/>
          <w:sz w:val="20"/>
          <w:szCs w:val="20"/>
          <w:lang w:val="sr-Cyrl-RS" w:eastAsia="en-US"/>
        </w:rPr>
      </w:pPr>
      <w:r w:rsidRPr="005767EF">
        <w:rPr>
          <w:rFonts w:asciiTheme="minorHAnsi" w:eastAsiaTheme="minorHAnsi" w:hAnsiTheme="minorHAnsi"/>
          <w:b/>
          <w:bCs/>
          <w:color w:val="auto"/>
          <w:sz w:val="20"/>
          <w:szCs w:val="20"/>
          <w:lang w:eastAsia="en-US"/>
        </w:rPr>
        <w:t>Pregled protestovanih garancija u periodu 01.01.2023. - 31.12.2023. godine</w:t>
      </w:r>
    </w:p>
    <w:p w14:paraId="420E2953" w14:textId="77777777" w:rsidR="001538EF" w:rsidRPr="00A3442E" w:rsidRDefault="001538EF" w:rsidP="001538EF">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001528EB" w:rsidRPr="005767EF">
        <w:rPr>
          <w:rFonts w:asciiTheme="minorHAnsi" w:eastAsiaTheme="minorHAnsi" w:hAnsiTheme="minorHAnsi"/>
          <w:color w:val="auto"/>
          <w:sz w:val="20"/>
          <w:szCs w:val="20"/>
          <w:lang w:eastAsia="en-US"/>
        </w:rPr>
        <w:t xml:space="preserve">    </w:t>
      </w:r>
      <w:r w:rsidR="00A3442E">
        <w:rPr>
          <w:rFonts w:asciiTheme="minorHAnsi" w:eastAsiaTheme="minorHAnsi" w:hAnsiTheme="minorHAnsi"/>
          <w:b/>
          <w:color w:val="auto"/>
          <w:sz w:val="20"/>
          <w:szCs w:val="20"/>
          <w:lang w:eastAsia="en-US"/>
        </w:rPr>
        <w:t>Tabela 6</w:t>
      </w:r>
    </w:p>
    <w:tbl>
      <w:tblPr>
        <w:tblW w:w="889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04"/>
        <w:gridCol w:w="1475"/>
        <w:gridCol w:w="1175"/>
        <w:gridCol w:w="1445"/>
        <w:gridCol w:w="1186"/>
      </w:tblGrid>
      <w:tr w:rsidR="00153592" w:rsidRPr="005767EF" w14:paraId="057CE24A" w14:textId="77777777" w:rsidTr="003B2F4F">
        <w:trPr>
          <w:trHeight w:val="825"/>
        </w:trPr>
        <w:tc>
          <w:tcPr>
            <w:tcW w:w="705" w:type="dxa"/>
            <w:shd w:val="clear" w:color="auto" w:fill="548DD4" w:themeFill="text2" w:themeFillTint="99"/>
            <w:vAlign w:val="center"/>
            <w:hideMark/>
          </w:tcPr>
          <w:p w14:paraId="34543C8E" w14:textId="3A97433A" w:rsidR="00153592" w:rsidRPr="00CC265E" w:rsidRDefault="00CC265E" w:rsidP="001538EF">
            <w:pPr>
              <w:jc w:val="center"/>
              <w:rPr>
                <w:rFonts w:asciiTheme="minorHAnsi" w:hAnsiTheme="minorHAnsi"/>
                <w:b/>
                <w:bCs/>
                <w:sz w:val="20"/>
                <w:szCs w:val="20"/>
                <w:lang w:val="sr-Cyrl-RS"/>
              </w:rPr>
            </w:pPr>
            <w:r w:rsidRPr="00CC265E">
              <w:rPr>
                <w:rFonts w:asciiTheme="minorHAnsi" w:hAnsiTheme="minorHAnsi"/>
                <w:b/>
                <w:bCs/>
                <w:sz w:val="20"/>
                <w:szCs w:val="20"/>
                <w:lang w:val="sr-Cyrl-RS"/>
              </w:rPr>
              <w:t>Redni broj</w:t>
            </w:r>
          </w:p>
          <w:p w14:paraId="1EA3E08A" w14:textId="77777777" w:rsidR="00153592" w:rsidRPr="005767EF" w:rsidRDefault="00153592" w:rsidP="001538EF">
            <w:pPr>
              <w:jc w:val="center"/>
              <w:rPr>
                <w:rFonts w:asciiTheme="minorHAnsi" w:hAnsiTheme="minorHAnsi"/>
                <w:b/>
                <w:sz w:val="20"/>
                <w:szCs w:val="20"/>
                <w:lang w:val="sr-Latn-RS" w:eastAsia="sr-Latn-RS"/>
              </w:rPr>
            </w:pPr>
          </w:p>
        </w:tc>
        <w:tc>
          <w:tcPr>
            <w:tcW w:w="2904" w:type="dxa"/>
            <w:shd w:val="clear" w:color="auto" w:fill="548DD4" w:themeFill="text2" w:themeFillTint="99"/>
            <w:vAlign w:val="center"/>
            <w:hideMark/>
          </w:tcPr>
          <w:p w14:paraId="0FE9D684" w14:textId="77777777" w:rsidR="00153592" w:rsidRPr="005767EF" w:rsidRDefault="00153592" w:rsidP="001538EF">
            <w:pPr>
              <w:jc w:val="center"/>
              <w:rPr>
                <w:rFonts w:asciiTheme="minorHAnsi" w:hAnsiTheme="minorHAnsi"/>
                <w:sz w:val="20"/>
                <w:szCs w:val="20"/>
                <w:lang w:val="sr-Cyrl-RS"/>
              </w:rPr>
            </w:pPr>
            <w:r w:rsidRPr="005767EF">
              <w:rPr>
                <w:rFonts w:asciiTheme="minorHAnsi" w:hAnsiTheme="minorHAnsi"/>
                <w:b/>
                <w:sz w:val="20"/>
                <w:szCs w:val="20"/>
                <w:lang w:eastAsia="sr-Latn-RS"/>
              </w:rPr>
              <w:t>Nalogodavac garancije</w:t>
            </w:r>
          </w:p>
          <w:p w14:paraId="18D74B44" w14:textId="77777777" w:rsidR="00153592" w:rsidRPr="005767EF" w:rsidRDefault="00153592" w:rsidP="001538EF">
            <w:pPr>
              <w:jc w:val="center"/>
              <w:rPr>
                <w:rFonts w:asciiTheme="minorHAnsi" w:hAnsiTheme="minorHAnsi"/>
                <w:b/>
                <w:sz w:val="20"/>
                <w:szCs w:val="20"/>
                <w:lang w:val="sr-Latn-RS" w:eastAsia="sr-Latn-RS"/>
              </w:rPr>
            </w:pPr>
          </w:p>
        </w:tc>
        <w:tc>
          <w:tcPr>
            <w:tcW w:w="1475" w:type="dxa"/>
            <w:shd w:val="clear" w:color="auto" w:fill="548DD4" w:themeFill="text2" w:themeFillTint="99"/>
            <w:vAlign w:val="center"/>
            <w:hideMark/>
          </w:tcPr>
          <w:p w14:paraId="40BF4C38" w14:textId="04BC1D1B" w:rsidR="00153592" w:rsidRPr="00CC265E" w:rsidRDefault="00CC265E" w:rsidP="00CC265E">
            <w:pPr>
              <w:jc w:val="center"/>
              <w:rPr>
                <w:rFonts w:asciiTheme="minorHAnsi" w:hAnsiTheme="minorHAnsi"/>
                <w:sz w:val="20"/>
                <w:szCs w:val="20"/>
              </w:rPr>
            </w:pPr>
            <w:r>
              <w:rPr>
                <w:rFonts w:asciiTheme="minorHAnsi" w:hAnsiTheme="minorHAnsi"/>
                <w:b/>
                <w:sz w:val="20"/>
                <w:szCs w:val="20"/>
                <w:lang w:eastAsia="sr-Latn-RS"/>
              </w:rPr>
              <w:t>Iznos kredita</w:t>
            </w:r>
            <w:r w:rsidR="00153592" w:rsidRPr="005767EF">
              <w:rPr>
                <w:rFonts w:asciiTheme="minorHAnsi" w:hAnsiTheme="minorHAnsi"/>
                <w:b/>
                <w:sz w:val="20"/>
                <w:szCs w:val="20"/>
                <w:lang w:eastAsia="sr-Latn-RS"/>
              </w:rPr>
              <w:t xml:space="preserve"> /</w:t>
            </w:r>
            <w:r>
              <w:rPr>
                <w:rFonts w:asciiTheme="minorHAnsi" w:hAnsiTheme="minorHAnsi"/>
                <w:b/>
                <w:sz w:val="20"/>
                <w:szCs w:val="20"/>
                <w:lang w:eastAsia="sr-Latn-RS"/>
              </w:rPr>
              <w:t xml:space="preserve"> Iznos </w:t>
            </w:r>
            <w:r w:rsidR="00153592" w:rsidRPr="005767EF">
              <w:rPr>
                <w:rFonts w:asciiTheme="minorHAnsi" w:hAnsiTheme="minorHAnsi"/>
                <w:b/>
                <w:sz w:val="20"/>
                <w:szCs w:val="20"/>
                <w:lang w:eastAsia="sr-Latn-RS"/>
              </w:rPr>
              <w:t xml:space="preserve"> garantovano</w:t>
            </w:r>
            <w:r>
              <w:rPr>
                <w:rFonts w:asciiTheme="minorHAnsi" w:hAnsiTheme="minorHAnsi"/>
                <w:b/>
                <w:sz w:val="20"/>
                <w:szCs w:val="20"/>
                <w:lang w:eastAsia="sr-Latn-RS"/>
              </w:rPr>
              <w:t>g</w:t>
            </w:r>
            <w:r w:rsidR="00153592" w:rsidRPr="005767EF">
              <w:rPr>
                <w:rFonts w:asciiTheme="minorHAnsi" w:hAnsiTheme="minorHAnsi"/>
                <w:b/>
                <w:sz w:val="20"/>
                <w:szCs w:val="20"/>
                <w:lang w:eastAsia="sr-Latn-RS"/>
              </w:rPr>
              <w:t xml:space="preserve"> anuiteta</w:t>
            </w:r>
          </w:p>
          <w:p w14:paraId="05DBDB03" w14:textId="77777777" w:rsidR="00153592" w:rsidRPr="005767EF" w:rsidRDefault="00153592" w:rsidP="00153592">
            <w:pPr>
              <w:jc w:val="center"/>
              <w:rPr>
                <w:rFonts w:asciiTheme="minorHAnsi" w:hAnsiTheme="minorHAnsi"/>
                <w:b/>
                <w:sz w:val="20"/>
                <w:szCs w:val="20"/>
                <w:lang w:val="sr-Latn-RS" w:eastAsia="sr-Latn-RS"/>
              </w:rPr>
            </w:pPr>
          </w:p>
        </w:tc>
        <w:tc>
          <w:tcPr>
            <w:tcW w:w="1175" w:type="dxa"/>
            <w:shd w:val="clear" w:color="auto" w:fill="548DD4" w:themeFill="text2" w:themeFillTint="99"/>
            <w:vAlign w:val="center"/>
          </w:tcPr>
          <w:p w14:paraId="5E6DAD52" w14:textId="77777777" w:rsidR="00153592" w:rsidRPr="005767EF" w:rsidRDefault="00153592" w:rsidP="00153592">
            <w:pPr>
              <w:jc w:val="center"/>
              <w:rPr>
                <w:rFonts w:asciiTheme="minorHAnsi" w:hAnsiTheme="minorHAnsi"/>
                <w:b/>
                <w:sz w:val="20"/>
                <w:szCs w:val="20"/>
                <w:lang w:val="sr-Cyrl-RS" w:eastAsia="sr-Latn-RS"/>
              </w:rPr>
            </w:pPr>
            <w:r w:rsidRPr="005767EF">
              <w:rPr>
                <w:rFonts w:asciiTheme="minorHAnsi" w:hAnsiTheme="minorHAnsi"/>
                <w:b/>
                <w:sz w:val="20"/>
                <w:szCs w:val="20"/>
                <w:lang w:eastAsia="sr-Latn-RS"/>
              </w:rPr>
              <w:t>Nominalni iznos garancije</w:t>
            </w:r>
          </w:p>
        </w:tc>
        <w:tc>
          <w:tcPr>
            <w:tcW w:w="1445" w:type="dxa"/>
            <w:shd w:val="clear" w:color="auto" w:fill="548DD4" w:themeFill="text2" w:themeFillTint="99"/>
            <w:vAlign w:val="center"/>
            <w:hideMark/>
          </w:tcPr>
          <w:p w14:paraId="309F1B93" w14:textId="77777777" w:rsidR="00153592" w:rsidRPr="005767EF" w:rsidRDefault="00153592" w:rsidP="00153592">
            <w:pPr>
              <w:jc w:val="center"/>
              <w:rPr>
                <w:rFonts w:asciiTheme="minorHAnsi" w:hAnsiTheme="minorHAnsi"/>
                <w:b/>
                <w:sz w:val="20"/>
                <w:szCs w:val="20"/>
                <w:lang w:val="sr-Cyrl-RS" w:eastAsia="sr-Latn-RS"/>
              </w:rPr>
            </w:pPr>
          </w:p>
          <w:p w14:paraId="62F1A8BF" w14:textId="77777777" w:rsidR="00153592" w:rsidRPr="005767EF" w:rsidRDefault="00153592" w:rsidP="00153592">
            <w:pPr>
              <w:jc w:val="center"/>
              <w:rPr>
                <w:rFonts w:asciiTheme="minorHAnsi" w:hAnsiTheme="minorHAnsi"/>
                <w:sz w:val="20"/>
                <w:szCs w:val="20"/>
                <w:lang w:val="sr-Cyrl-RS"/>
              </w:rPr>
            </w:pPr>
            <w:r w:rsidRPr="005767EF">
              <w:rPr>
                <w:rFonts w:asciiTheme="minorHAnsi" w:hAnsiTheme="minorHAnsi"/>
                <w:b/>
                <w:sz w:val="20"/>
                <w:szCs w:val="20"/>
                <w:lang w:eastAsia="sr-Latn-RS"/>
              </w:rPr>
              <w:t>Protestovani iznos garancije</w:t>
            </w:r>
          </w:p>
          <w:p w14:paraId="6BE39920" w14:textId="77777777" w:rsidR="00153592" w:rsidRPr="005767EF" w:rsidRDefault="00153592" w:rsidP="00153592">
            <w:pPr>
              <w:jc w:val="center"/>
              <w:rPr>
                <w:rFonts w:asciiTheme="minorHAnsi" w:hAnsiTheme="minorHAnsi"/>
                <w:b/>
                <w:sz w:val="20"/>
                <w:szCs w:val="20"/>
                <w:lang w:val="sr-Latn-RS" w:eastAsia="sr-Latn-RS"/>
              </w:rPr>
            </w:pPr>
          </w:p>
        </w:tc>
        <w:tc>
          <w:tcPr>
            <w:tcW w:w="1186" w:type="dxa"/>
            <w:shd w:val="clear" w:color="auto" w:fill="548DD4" w:themeFill="text2" w:themeFillTint="99"/>
            <w:vAlign w:val="center"/>
          </w:tcPr>
          <w:p w14:paraId="1576567D" w14:textId="77777777" w:rsidR="00153592" w:rsidRPr="005767EF" w:rsidRDefault="00153592" w:rsidP="00153592">
            <w:pPr>
              <w:jc w:val="center"/>
              <w:rPr>
                <w:rFonts w:asciiTheme="minorHAnsi" w:hAnsiTheme="minorHAnsi"/>
                <w:b/>
                <w:sz w:val="20"/>
                <w:szCs w:val="20"/>
                <w:lang w:val="sr-Cyrl-RS" w:eastAsia="sr-Latn-RS"/>
              </w:rPr>
            </w:pPr>
          </w:p>
          <w:p w14:paraId="77E0C89B" w14:textId="77777777" w:rsidR="00153592" w:rsidRPr="005767EF" w:rsidRDefault="00153592" w:rsidP="00153592">
            <w:pPr>
              <w:jc w:val="center"/>
              <w:rPr>
                <w:rFonts w:asciiTheme="minorHAnsi" w:hAnsiTheme="minorHAnsi"/>
                <w:b/>
                <w:sz w:val="20"/>
                <w:szCs w:val="20"/>
                <w:lang w:val="sr-Cyrl-RS" w:eastAsia="sr-Latn-RS"/>
              </w:rPr>
            </w:pPr>
            <w:r w:rsidRPr="005767EF">
              <w:rPr>
                <w:rFonts w:asciiTheme="minorHAnsi" w:hAnsiTheme="minorHAnsi"/>
                <w:b/>
                <w:sz w:val="20"/>
                <w:szCs w:val="20"/>
                <w:lang w:eastAsia="sr-Latn-RS"/>
              </w:rPr>
              <w:t>Plaćeni iznos garancije</w:t>
            </w:r>
          </w:p>
        </w:tc>
      </w:tr>
      <w:tr w:rsidR="00153592" w:rsidRPr="005767EF" w14:paraId="32662862" w14:textId="77777777" w:rsidTr="00153592">
        <w:trPr>
          <w:trHeight w:val="219"/>
        </w:trPr>
        <w:tc>
          <w:tcPr>
            <w:tcW w:w="705" w:type="dxa"/>
            <w:shd w:val="clear" w:color="000000" w:fill="FFFFFF"/>
            <w:hideMark/>
          </w:tcPr>
          <w:p w14:paraId="2301EDA7" w14:textId="77777777" w:rsidR="00153592" w:rsidRPr="005767EF" w:rsidRDefault="00153592" w:rsidP="001538EF">
            <w:pPr>
              <w:jc w:val="left"/>
              <w:rPr>
                <w:rFonts w:asciiTheme="minorHAnsi" w:hAnsiTheme="minorHAnsi"/>
                <w:sz w:val="20"/>
                <w:szCs w:val="20"/>
                <w:lang w:val="sr-Cyrl-RS" w:eastAsia="sr-Latn-RS"/>
              </w:rPr>
            </w:pPr>
            <w:r w:rsidRPr="005767EF">
              <w:rPr>
                <w:rFonts w:asciiTheme="minorHAnsi" w:hAnsiTheme="minorHAnsi"/>
                <w:sz w:val="20"/>
                <w:szCs w:val="20"/>
                <w:lang w:eastAsia="sr-Latn-RS"/>
              </w:rPr>
              <w:t>1.</w:t>
            </w:r>
          </w:p>
        </w:tc>
        <w:tc>
          <w:tcPr>
            <w:tcW w:w="2904" w:type="dxa"/>
            <w:shd w:val="clear" w:color="000000" w:fill="FFFFFF"/>
            <w:hideMark/>
          </w:tcPr>
          <w:p w14:paraId="1C06DF0F" w14:textId="77777777" w:rsidR="00153592" w:rsidRPr="005767EF" w:rsidRDefault="00153592" w:rsidP="001538EF">
            <w:pPr>
              <w:rPr>
                <w:rFonts w:asciiTheme="minorHAnsi" w:hAnsiTheme="minorHAnsi"/>
                <w:sz w:val="20"/>
                <w:szCs w:val="20"/>
                <w:lang w:val="sr-Cyrl-RS" w:eastAsia="sr-Latn-RS"/>
              </w:rPr>
            </w:pPr>
            <w:r w:rsidRPr="005767EF">
              <w:rPr>
                <w:rFonts w:asciiTheme="minorHAnsi" w:hAnsiTheme="minorHAnsi"/>
                <w:sz w:val="20"/>
                <w:szCs w:val="20"/>
                <w:lang w:eastAsia="sr-Latn-RS"/>
              </w:rPr>
              <w:t>Perper Plus d.o.o. Slatina, Laktaši</w:t>
            </w:r>
          </w:p>
        </w:tc>
        <w:tc>
          <w:tcPr>
            <w:tcW w:w="1475" w:type="dxa"/>
            <w:shd w:val="clear" w:color="000000" w:fill="FFFFFF"/>
            <w:vAlign w:val="center"/>
            <w:hideMark/>
          </w:tcPr>
          <w:p w14:paraId="4EA80F8D" w14:textId="77777777" w:rsidR="00153592" w:rsidRPr="005767EF" w:rsidRDefault="00153592" w:rsidP="001535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100.000,00</w:t>
            </w:r>
          </w:p>
        </w:tc>
        <w:tc>
          <w:tcPr>
            <w:tcW w:w="1175" w:type="dxa"/>
            <w:shd w:val="clear" w:color="000000" w:fill="FFFFFF"/>
            <w:vAlign w:val="center"/>
          </w:tcPr>
          <w:p w14:paraId="20696A8B"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50.000,00</w:t>
            </w:r>
          </w:p>
        </w:tc>
        <w:tc>
          <w:tcPr>
            <w:tcW w:w="1445" w:type="dxa"/>
            <w:shd w:val="clear" w:color="000000" w:fill="FFFFFF"/>
            <w:vAlign w:val="center"/>
            <w:hideMark/>
          </w:tcPr>
          <w:p w14:paraId="07291391"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25.844,24</w:t>
            </w:r>
          </w:p>
        </w:tc>
        <w:tc>
          <w:tcPr>
            <w:tcW w:w="1186" w:type="dxa"/>
            <w:shd w:val="clear" w:color="000000" w:fill="FFFFFF"/>
            <w:vAlign w:val="center"/>
          </w:tcPr>
          <w:p w14:paraId="4DE05693"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25.844,24</w:t>
            </w:r>
          </w:p>
        </w:tc>
      </w:tr>
      <w:tr w:rsidR="00153592" w:rsidRPr="005767EF" w14:paraId="526D482F" w14:textId="77777777" w:rsidTr="00153592">
        <w:trPr>
          <w:trHeight w:val="225"/>
        </w:trPr>
        <w:tc>
          <w:tcPr>
            <w:tcW w:w="705" w:type="dxa"/>
            <w:tcBorders>
              <w:bottom w:val="single" w:sz="4" w:space="0" w:color="auto"/>
            </w:tcBorders>
            <w:shd w:val="clear" w:color="000000" w:fill="FFFFFF"/>
            <w:hideMark/>
          </w:tcPr>
          <w:p w14:paraId="14280F6C" w14:textId="77777777" w:rsidR="00153592" w:rsidRPr="005767EF" w:rsidRDefault="00153592" w:rsidP="001538EF">
            <w:pPr>
              <w:jc w:val="left"/>
              <w:rPr>
                <w:rFonts w:asciiTheme="minorHAnsi" w:hAnsiTheme="minorHAnsi"/>
                <w:sz w:val="20"/>
                <w:szCs w:val="20"/>
                <w:lang w:val="sr-Cyrl-RS" w:eastAsia="sr-Latn-RS"/>
              </w:rPr>
            </w:pPr>
            <w:r w:rsidRPr="005767EF">
              <w:rPr>
                <w:rFonts w:asciiTheme="minorHAnsi" w:hAnsiTheme="minorHAnsi"/>
                <w:sz w:val="20"/>
                <w:szCs w:val="20"/>
                <w:lang w:eastAsia="sr-Latn-RS"/>
              </w:rPr>
              <w:t>2.</w:t>
            </w:r>
          </w:p>
        </w:tc>
        <w:tc>
          <w:tcPr>
            <w:tcW w:w="2904" w:type="dxa"/>
            <w:tcBorders>
              <w:bottom w:val="single" w:sz="4" w:space="0" w:color="auto"/>
            </w:tcBorders>
            <w:shd w:val="clear" w:color="000000" w:fill="FFFFFF"/>
            <w:hideMark/>
          </w:tcPr>
          <w:p w14:paraId="5FE45136" w14:textId="77777777" w:rsidR="00153592" w:rsidRPr="005767EF" w:rsidRDefault="00153592" w:rsidP="001538EF">
            <w:pPr>
              <w:rPr>
                <w:rFonts w:asciiTheme="minorHAnsi" w:hAnsiTheme="minorHAnsi"/>
                <w:sz w:val="20"/>
                <w:szCs w:val="20"/>
                <w:lang w:val="sr-Cyrl-RS" w:eastAsia="sr-Latn-RS"/>
              </w:rPr>
            </w:pPr>
            <w:r w:rsidRPr="005767EF">
              <w:rPr>
                <w:rFonts w:asciiTheme="minorHAnsi" w:hAnsiTheme="minorHAnsi"/>
                <w:sz w:val="20"/>
                <w:szCs w:val="20"/>
                <w:lang w:eastAsia="sr-Latn-RS"/>
              </w:rPr>
              <w:t>Eko zaštita d.o.o. Bijeljina</w:t>
            </w:r>
          </w:p>
        </w:tc>
        <w:tc>
          <w:tcPr>
            <w:tcW w:w="1475" w:type="dxa"/>
            <w:tcBorders>
              <w:bottom w:val="single" w:sz="4" w:space="0" w:color="auto"/>
            </w:tcBorders>
            <w:shd w:val="clear" w:color="000000" w:fill="FFFFFF"/>
            <w:vAlign w:val="center"/>
            <w:hideMark/>
          </w:tcPr>
          <w:p w14:paraId="550C808C" w14:textId="77777777" w:rsidR="00153592" w:rsidRPr="005767EF" w:rsidRDefault="00153592" w:rsidP="001535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250.000,00</w:t>
            </w:r>
          </w:p>
        </w:tc>
        <w:tc>
          <w:tcPr>
            <w:tcW w:w="1175" w:type="dxa"/>
            <w:tcBorders>
              <w:bottom w:val="single" w:sz="4" w:space="0" w:color="auto"/>
            </w:tcBorders>
            <w:shd w:val="clear" w:color="000000" w:fill="FFFFFF"/>
            <w:vAlign w:val="center"/>
          </w:tcPr>
          <w:p w14:paraId="5BAC6555"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125.000,00</w:t>
            </w:r>
          </w:p>
        </w:tc>
        <w:tc>
          <w:tcPr>
            <w:tcW w:w="1445" w:type="dxa"/>
            <w:tcBorders>
              <w:bottom w:val="single" w:sz="4" w:space="0" w:color="auto"/>
            </w:tcBorders>
            <w:shd w:val="clear" w:color="000000" w:fill="FFFFFF"/>
            <w:vAlign w:val="center"/>
            <w:hideMark/>
          </w:tcPr>
          <w:p w14:paraId="7FB84BFC" w14:textId="77777777" w:rsidR="00153592" w:rsidRPr="005767EF" w:rsidRDefault="00153592" w:rsidP="00153592">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90.454,04</w:t>
            </w:r>
          </w:p>
        </w:tc>
        <w:tc>
          <w:tcPr>
            <w:tcW w:w="1186" w:type="dxa"/>
            <w:tcBorders>
              <w:bottom w:val="single" w:sz="4" w:space="0" w:color="auto"/>
            </w:tcBorders>
            <w:shd w:val="clear" w:color="000000" w:fill="FFFFFF"/>
            <w:vAlign w:val="center"/>
          </w:tcPr>
          <w:p w14:paraId="5C480825" w14:textId="77777777" w:rsidR="00153592" w:rsidRPr="005767EF" w:rsidRDefault="00153592" w:rsidP="00153592">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0,00</w:t>
            </w:r>
          </w:p>
        </w:tc>
      </w:tr>
      <w:tr w:rsidR="00153592" w:rsidRPr="005767EF" w14:paraId="1396CD8B" w14:textId="77777777" w:rsidTr="00153592">
        <w:trPr>
          <w:trHeight w:val="270"/>
        </w:trPr>
        <w:tc>
          <w:tcPr>
            <w:tcW w:w="705" w:type="dxa"/>
            <w:tcBorders>
              <w:top w:val="single" w:sz="4" w:space="0" w:color="auto"/>
              <w:left w:val="single" w:sz="4" w:space="0" w:color="auto"/>
              <w:right w:val="single" w:sz="4" w:space="0" w:color="auto"/>
            </w:tcBorders>
            <w:shd w:val="clear" w:color="auto" w:fill="auto"/>
          </w:tcPr>
          <w:p w14:paraId="45771D9F"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eastAsia="sr-Latn-RS"/>
              </w:rPr>
              <w:t>3.</w:t>
            </w:r>
          </w:p>
        </w:tc>
        <w:tc>
          <w:tcPr>
            <w:tcW w:w="2904" w:type="dxa"/>
            <w:tcBorders>
              <w:top w:val="single" w:sz="4" w:space="0" w:color="auto"/>
              <w:left w:val="single" w:sz="4" w:space="0" w:color="auto"/>
              <w:right w:val="single" w:sz="4" w:space="0" w:color="auto"/>
            </w:tcBorders>
            <w:shd w:val="clear" w:color="auto" w:fill="auto"/>
          </w:tcPr>
          <w:p w14:paraId="05B841D8"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eastAsia="sr-Latn-RS"/>
              </w:rPr>
              <w:t>INTERLIGNUM d.o.o. Teslić</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tcPr>
          <w:p w14:paraId="08C2B039" w14:textId="77777777" w:rsidR="00153592" w:rsidRPr="005767EF" w:rsidRDefault="00153592" w:rsidP="00153592">
            <w:pPr>
              <w:jc w:val="right"/>
              <w:rPr>
                <w:rFonts w:asciiTheme="minorHAnsi" w:hAnsiTheme="minorHAnsi"/>
                <w:bCs/>
                <w:sz w:val="20"/>
                <w:szCs w:val="20"/>
                <w:lang w:val="sr-Cyrl-RS" w:eastAsia="sr-Latn-RS"/>
              </w:rPr>
            </w:pPr>
            <w:r w:rsidRPr="005767EF">
              <w:rPr>
                <w:rFonts w:asciiTheme="minorHAnsi" w:hAnsiTheme="minorHAnsi"/>
                <w:bCs/>
                <w:sz w:val="20"/>
                <w:szCs w:val="20"/>
                <w:lang w:eastAsia="sr-Latn-RS"/>
              </w:rPr>
              <w:t>29.389,45</w:t>
            </w:r>
          </w:p>
        </w:tc>
        <w:tc>
          <w:tcPr>
            <w:tcW w:w="1175" w:type="dxa"/>
            <w:tcBorders>
              <w:top w:val="single" w:sz="4" w:space="0" w:color="auto"/>
              <w:left w:val="single" w:sz="4" w:space="0" w:color="auto"/>
              <w:bottom w:val="single" w:sz="4" w:space="0" w:color="auto"/>
              <w:right w:val="single" w:sz="4" w:space="0" w:color="auto"/>
            </w:tcBorders>
            <w:vAlign w:val="center"/>
          </w:tcPr>
          <w:p w14:paraId="2FEF2963"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17.633,67</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05139B07"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17.633,67</w:t>
            </w:r>
          </w:p>
        </w:tc>
        <w:tc>
          <w:tcPr>
            <w:tcW w:w="1186" w:type="dxa"/>
            <w:tcBorders>
              <w:top w:val="single" w:sz="4" w:space="0" w:color="auto"/>
              <w:left w:val="single" w:sz="4" w:space="0" w:color="auto"/>
              <w:bottom w:val="single" w:sz="4" w:space="0" w:color="auto"/>
              <w:right w:val="single" w:sz="4" w:space="0" w:color="auto"/>
            </w:tcBorders>
            <w:vAlign w:val="center"/>
          </w:tcPr>
          <w:p w14:paraId="5C2F09C6"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17.633,67</w:t>
            </w:r>
          </w:p>
        </w:tc>
      </w:tr>
      <w:tr w:rsidR="00153592" w:rsidRPr="005767EF" w14:paraId="46A87897" w14:textId="77777777" w:rsidTr="00153592">
        <w:trPr>
          <w:trHeight w:val="270"/>
        </w:trPr>
        <w:tc>
          <w:tcPr>
            <w:tcW w:w="705" w:type="dxa"/>
            <w:tcBorders>
              <w:left w:val="single" w:sz="4" w:space="0" w:color="auto"/>
              <w:bottom w:val="single" w:sz="4" w:space="0" w:color="auto"/>
              <w:right w:val="single" w:sz="4" w:space="0" w:color="auto"/>
            </w:tcBorders>
            <w:shd w:val="clear" w:color="auto" w:fill="auto"/>
          </w:tcPr>
          <w:p w14:paraId="1B581475"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eastAsia="sr-Latn-RS"/>
              </w:rPr>
              <w:t>4.</w:t>
            </w:r>
          </w:p>
        </w:tc>
        <w:tc>
          <w:tcPr>
            <w:tcW w:w="2904" w:type="dxa"/>
            <w:tcBorders>
              <w:left w:val="single" w:sz="4" w:space="0" w:color="auto"/>
              <w:bottom w:val="single" w:sz="4" w:space="0" w:color="auto"/>
              <w:right w:val="single" w:sz="4" w:space="0" w:color="auto"/>
            </w:tcBorders>
            <w:shd w:val="clear" w:color="auto" w:fill="auto"/>
          </w:tcPr>
          <w:p w14:paraId="1D158082"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eastAsia="sr-Latn-RS"/>
              </w:rPr>
              <w:t>INTERLIGNUM d.o.o. Teslić</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tcPr>
          <w:p w14:paraId="5CEFB0F3" w14:textId="77777777" w:rsidR="00153592" w:rsidRPr="005767EF" w:rsidRDefault="00153592" w:rsidP="00153592">
            <w:pPr>
              <w:jc w:val="right"/>
              <w:rPr>
                <w:rFonts w:asciiTheme="minorHAnsi" w:hAnsiTheme="minorHAnsi"/>
                <w:bCs/>
                <w:sz w:val="20"/>
                <w:szCs w:val="20"/>
                <w:lang w:val="sr-Cyrl-RS" w:eastAsia="sr-Latn-RS"/>
              </w:rPr>
            </w:pPr>
            <w:r w:rsidRPr="005767EF">
              <w:rPr>
                <w:rFonts w:asciiTheme="minorHAnsi" w:hAnsiTheme="minorHAnsi"/>
                <w:bCs/>
                <w:sz w:val="20"/>
                <w:szCs w:val="20"/>
                <w:lang w:eastAsia="sr-Latn-RS"/>
              </w:rPr>
              <w:t>29.536,40</w:t>
            </w:r>
          </w:p>
        </w:tc>
        <w:tc>
          <w:tcPr>
            <w:tcW w:w="1175" w:type="dxa"/>
            <w:tcBorders>
              <w:top w:val="single" w:sz="4" w:space="0" w:color="auto"/>
              <w:left w:val="single" w:sz="4" w:space="0" w:color="auto"/>
              <w:bottom w:val="single" w:sz="4" w:space="0" w:color="auto"/>
              <w:right w:val="single" w:sz="4" w:space="0" w:color="auto"/>
            </w:tcBorders>
            <w:vAlign w:val="center"/>
          </w:tcPr>
          <w:p w14:paraId="72643D2E"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17.721,84</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0A8C04ED"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17.721,84</w:t>
            </w:r>
          </w:p>
        </w:tc>
        <w:tc>
          <w:tcPr>
            <w:tcW w:w="1186" w:type="dxa"/>
            <w:tcBorders>
              <w:top w:val="single" w:sz="4" w:space="0" w:color="auto"/>
              <w:left w:val="single" w:sz="4" w:space="0" w:color="auto"/>
              <w:bottom w:val="single" w:sz="4" w:space="0" w:color="auto"/>
              <w:right w:val="single" w:sz="4" w:space="0" w:color="auto"/>
            </w:tcBorders>
            <w:vAlign w:val="center"/>
          </w:tcPr>
          <w:p w14:paraId="38A5AB46"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17.721,84</w:t>
            </w:r>
          </w:p>
        </w:tc>
      </w:tr>
      <w:tr w:rsidR="00153592" w:rsidRPr="005767EF" w14:paraId="4533F077" w14:textId="77777777" w:rsidTr="00153592">
        <w:trPr>
          <w:trHeight w:val="270"/>
        </w:trPr>
        <w:tc>
          <w:tcPr>
            <w:tcW w:w="705" w:type="dxa"/>
            <w:tcBorders>
              <w:left w:val="single" w:sz="4" w:space="0" w:color="auto"/>
              <w:bottom w:val="single" w:sz="4" w:space="0" w:color="auto"/>
              <w:right w:val="single" w:sz="4" w:space="0" w:color="auto"/>
            </w:tcBorders>
            <w:shd w:val="clear" w:color="auto" w:fill="auto"/>
          </w:tcPr>
          <w:p w14:paraId="482722BB"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eastAsia="sr-Latn-RS"/>
              </w:rPr>
              <w:t>5.</w:t>
            </w:r>
          </w:p>
        </w:tc>
        <w:tc>
          <w:tcPr>
            <w:tcW w:w="2904" w:type="dxa"/>
            <w:tcBorders>
              <w:left w:val="single" w:sz="4" w:space="0" w:color="auto"/>
              <w:bottom w:val="single" w:sz="4" w:space="0" w:color="auto"/>
              <w:right w:val="single" w:sz="4" w:space="0" w:color="auto"/>
            </w:tcBorders>
            <w:shd w:val="clear" w:color="auto" w:fill="auto"/>
          </w:tcPr>
          <w:p w14:paraId="206C2CAA" w14:textId="77777777" w:rsidR="00153592" w:rsidRPr="005767EF" w:rsidRDefault="00153592" w:rsidP="001538EF">
            <w:pPr>
              <w:jc w:val="left"/>
              <w:rPr>
                <w:rFonts w:asciiTheme="minorHAnsi" w:hAnsiTheme="minorHAnsi"/>
                <w:bCs/>
                <w:sz w:val="20"/>
                <w:szCs w:val="20"/>
                <w:lang w:val="sr-Cyrl-BA" w:eastAsia="sr-Latn-RS"/>
              </w:rPr>
            </w:pPr>
            <w:r w:rsidRPr="005767EF">
              <w:rPr>
                <w:rFonts w:asciiTheme="minorHAnsi" w:hAnsiTheme="minorHAnsi"/>
                <w:bCs/>
                <w:sz w:val="20"/>
                <w:szCs w:val="20"/>
                <w:lang w:eastAsia="sr-Latn-RS"/>
              </w:rPr>
              <w:t>INTERLIGNUM d.o.o. Teslić</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center"/>
          </w:tcPr>
          <w:p w14:paraId="70FA293B" w14:textId="77777777" w:rsidR="00153592" w:rsidRPr="005767EF" w:rsidRDefault="00153592" w:rsidP="00153592">
            <w:pPr>
              <w:jc w:val="right"/>
              <w:rPr>
                <w:rFonts w:asciiTheme="minorHAnsi" w:hAnsiTheme="minorHAnsi"/>
                <w:bCs/>
                <w:sz w:val="20"/>
                <w:szCs w:val="20"/>
                <w:lang w:val="sr-Cyrl-RS" w:eastAsia="sr-Latn-RS"/>
              </w:rPr>
            </w:pPr>
            <w:r w:rsidRPr="005767EF">
              <w:rPr>
                <w:rFonts w:asciiTheme="minorHAnsi" w:hAnsiTheme="minorHAnsi"/>
                <w:bCs/>
                <w:sz w:val="20"/>
                <w:szCs w:val="20"/>
                <w:lang w:eastAsia="sr-Latn-RS"/>
              </w:rPr>
              <w:t>29.684,07</w:t>
            </w:r>
          </w:p>
        </w:tc>
        <w:tc>
          <w:tcPr>
            <w:tcW w:w="1175" w:type="dxa"/>
            <w:tcBorders>
              <w:top w:val="single" w:sz="4" w:space="0" w:color="auto"/>
              <w:left w:val="single" w:sz="4" w:space="0" w:color="auto"/>
              <w:bottom w:val="single" w:sz="4" w:space="0" w:color="auto"/>
              <w:right w:val="single" w:sz="4" w:space="0" w:color="auto"/>
            </w:tcBorders>
            <w:vAlign w:val="center"/>
          </w:tcPr>
          <w:p w14:paraId="480CB478"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17.810,44</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2A743922"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17.810,44</w:t>
            </w:r>
          </w:p>
        </w:tc>
        <w:tc>
          <w:tcPr>
            <w:tcW w:w="1186" w:type="dxa"/>
            <w:tcBorders>
              <w:top w:val="single" w:sz="4" w:space="0" w:color="auto"/>
              <w:left w:val="single" w:sz="4" w:space="0" w:color="auto"/>
              <w:bottom w:val="single" w:sz="4" w:space="0" w:color="auto"/>
              <w:right w:val="single" w:sz="4" w:space="0" w:color="auto"/>
            </w:tcBorders>
            <w:vAlign w:val="center"/>
          </w:tcPr>
          <w:p w14:paraId="47C0A983" w14:textId="77777777" w:rsidR="00153592" w:rsidRPr="005767EF" w:rsidRDefault="00153592" w:rsidP="00153592">
            <w:pPr>
              <w:jc w:val="right"/>
              <w:rPr>
                <w:rFonts w:asciiTheme="minorHAnsi" w:hAnsiTheme="minorHAnsi"/>
                <w:bCs/>
                <w:sz w:val="20"/>
                <w:szCs w:val="20"/>
                <w:lang w:val="sr-Latn-RS" w:eastAsia="sr-Latn-RS"/>
              </w:rPr>
            </w:pPr>
            <w:r w:rsidRPr="005767EF">
              <w:rPr>
                <w:rFonts w:asciiTheme="minorHAnsi" w:hAnsiTheme="minorHAnsi"/>
                <w:bCs/>
                <w:sz w:val="20"/>
                <w:szCs w:val="20"/>
                <w:lang w:eastAsia="sr-Latn-RS"/>
              </w:rPr>
              <w:t>17.810,44</w:t>
            </w:r>
          </w:p>
        </w:tc>
      </w:tr>
      <w:tr w:rsidR="00153592" w:rsidRPr="005767EF" w14:paraId="3C08443F" w14:textId="77777777" w:rsidTr="003B2F4F">
        <w:trPr>
          <w:trHeight w:val="270"/>
        </w:trPr>
        <w:tc>
          <w:tcPr>
            <w:tcW w:w="3609" w:type="dxa"/>
            <w:gridSpan w:val="2"/>
            <w:tcBorders>
              <w:top w:val="single" w:sz="4" w:space="0" w:color="auto"/>
            </w:tcBorders>
            <w:shd w:val="clear" w:color="auto" w:fill="548DD4" w:themeFill="text2" w:themeFillTint="99"/>
            <w:hideMark/>
          </w:tcPr>
          <w:p w14:paraId="749CD1F4" w14:textId="22114034" w:rsidR="00153592" w:rsidRPr="005767EF" w:rsidRDefault="00CC265E" w:rsidP="00CC265E">
            <w:pPr>
              <w:jc w:val="left"/>
              <w:rPr>
                <w:rFonts w:asciiTheme="minorHAnsi" w:hAnsiTheme="minorHAnsi"/>
                <w:b/>
                <w:bCs/>
                <w:sz w:val="20"/>
                <w:szCs w:val="20"/>
                <w:lang w:val="sr-Latn-RS" w:eastAsia="sr-Latn-RS"/>
              </w:rPr>
            </w:pPr>
            <w:r>
              <w:rPr>
                <w:rFonts w:asciiTheme="minorHAnsi" w:hAnsiTheme="minorHAnsi"/>
                <w:b/>
                <w:bCs/>
                <w:sz w:val="20"/>
                <w:szCs w:val="20"/>
                <w:lang w:eastAsia="sr-Latn-RS"/>
              </w:rPr>
              <w:t>UKUPNO</w:t>
            </w:r>
            <w:r w:rsidR="00153592" w:rsidRPr="005767EF">
              <w:rPr>
                <w:rFonts w:asciiTheme="minorHAnsi" w:hAnsiTheme="minorHAnsi"/>
                <w:b/>
                <w:bCs/>
                <w:sz w:val="20"/>
                <w:szCs w:val="20"/>
                <w:lang w:eastAsia="sr-Latn-RS"/>
              </w:rPr>
              <w:t xml:space="preserve"> </w:t>
            </w:r>
            <w:r>
              <w:rPr>
                <w:rFonts w:asciiTheme="minorHAnsi" w:hAnsiTheme="minorHAnsi"/>
                <w:b/>
                <w:bCs/>
                <w:sz w:val="20"/>
                <w:szCs w:val="20"/>
                <w:lang w:eastAsia="sr-Latn-RS"/>
              </w:rPr>
              <w:t xml:space="preserve">                                             </w:t>
            </w:r>
            <w:r w:rsidR="00153592" w:rsidRPr="005767EF">
              <w:rPr>
                <w:rFonts w:asciiTheme="minorHAnsi" w:hAnsiTheme="minorHAnsi"/>
                <w:b/>
                <w:bCs/>
                <w:sz w:val="20"/>
                <w:szCs w:val="20"/>
                <w:lang w:eastAsia="sr-Latn-RS"/>
              </w:rPr>
              <w:t>5</w:t>
            </w:r>
          </w:p>
        </w:tc>
        <w:tc>
          <w:tcPr>
            <w:tcW w:w="1475" w:type="dxa"/>
            <w:tcBorders>
              <w:top w:val="single" w:sz="4" w:space="0" w:color="auto"/>
            </w:tcBorders>
            <w:shd w:val="clear" w:color="auto" w:fill="548DD4" w:themeFill="text2" w:themeFillTint="99"/>
            <w:hideMark/>
          </w:tcPr>
          <w:p w14:paraId="3F2F7DD8" w14:textId="77777777" w:rsidR="00153592" w:rsidRPr="005767EF" w:rsidRDefault="00D362E3"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eastAsia="sr-Latn-RS"/>
              </w:rPr>
              <w:t>438.609,92</w:t>
            </w:r>
          </w:p>
        </w:tc>
        <w:tc>
          <w:tcPr>
            <w:tcW w:w="1175" w:type="dxa"/>
            <w:tcBorders>
              <w:top w:val="single" w:sz="4" w:space="0" w:color="auto"/>
            </w:tcBorders>
            <w:shd w:val="clear" w:color="auto" w:fill="548DD4" w:themeFill="text2" w:themeFillTint="99"/>
          </w:tcPr>
          <w:p w14:paraId="1BFB9938" w14:textId="77777777" w:rsidR="00153592" w:rsidRPr="005767EF" w:rsidRDefault="00D362E3"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eastAsia="sr-Latn-RS"/>
              </w:rPr>
              <w:t>228.165,95</w:t>
            </w:r>
          </w:p>
        </w:tc>
        <w:tc>
          <w:tcPr>
            <w:tcW w:w="1445" w:type="dxa"/>
            <w:tcBorders>
              <w:top w:val="single" w:sz="4" w:space="0" w:color="auto"/>
            </w:tcBorders>
            <w:shd w:val="clear" w:color="auto" w:fill="548DD4" w:themeFill="text2" w:themeFillTint="99"/>
            <w:hideMark/>
          </w:tcPr>
          <w:p w14:paraId="1E31B357" w14:textId="77777777" w:rsidR="00153592" w:rsidRPr="005767EF" w:rsidRDefault="00D362E3"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eastAsia="sr-Latn-RS"/>
              </w:rPr>
              <w:t>169.464,23</w:t>
            </w:r>
          </w:p>
        </w:tc>
        <w:tc>
          <w:tcPr>
            <w:tcW w:w="1186" w:type="dxa"/>
            <w:tcBorders>
              <w:top w:val="single" w:sz="4" w:space="0" w:color="auto"/>
            </w:tcBorders>
            <w:shd w:val="clear" w:color="auto" w:fill="548DD4" w:themeFill="text2" w:themeFillTint="99"/>
          </w:tcPr>
          <w:p w14:paraId="73B9DAB5" w14:textId="77777777" w:rsidR="00153592" w:rsidRPr="005767EF" w:rsidRDefault="00B44F5F" w:rsidP="001538EF">
            <w:pPr>
              <w:jc w:val="right"/>
              <w:rPr>
                <w:rFonts w:asciiTheme="minorHAnsi" w:hAnsiTheme="minorHAnsi"/>
                <w:b/>
                <w:bCs/>
                <w:sz w:val="20"/>
                <w:szCs w:val="20"/>
                <w:lang w:val="sr-Cyrl-RS" w:eastAsia="sr-Latn-RS"/>
              </w:rPr>
            </w:pPr>
            <w:r w:rsidRPr="005767EF">
              <w:rPr>
                <w:rFonts w:asciiTheme="minorHAnsi" w:hAnsiTheme="minorHAnsi"/>
                <w:b/>
                <w:bCs/>
                <w:sz w:val="20"/>
                <w:szCs w:val="20"/>
                <w:lang w:eastAsia="sr-Latn-RS"/>
              </w:rPr>
              <w:t>79.010,19</w:t>
            </w:r>
          </w:p>
        </w:tc>
      </w:tr>
    </w:tbl>
    <w:p w14:paraId="242EED58" w14:textId="77777777" w:rsidR="001D04EC" w:rsidRDefault="001D04EC" w:rsidP="008A780A">
      <w:pPr>
        <w:autoSpaceDE w:val="0"/>
        <w:autoSpaceDN w:val="0"/>
        <w:adjustRightInd w:val="0"/>
        <w:rPr>
          <w:rFonts w:asciiTheme="minorHAnsi" w:eastAsiaTheme="minorHAnsi" w:hAnsiTheme="minorHAnsi"/>
          <w:color w:val="auto"/>
          <w:sz w:val="20"/>
          <w:szCs w:val="20"/>
          <w:lang w:val="sr-Cyrl-BA" w:eastAsia="en-US"/>
        </w:rPr>
      </w:pPr>
    </w:p>
    <w:p w14:paraId="3754153F" w14:textId="77777777" w:rsidR="00B44F5F" w:rsidRDefault="001538EF" w:rsidP="008A780A">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U 2023. godini je izvršen protest 5 garancija odobrenih u nominalnom iznosu od 228.165,95 KM. Protestovani iznos navedenih garancija je 169.464,23 KM, što odgovara stanju garancija na dan podnošenja zahtjeva za plaćanje. Od navedenih garancija, plaćene su 4 garancije u ukupnom iznosu od 79.010,19 KM.</w:t>
      </w:r>
    </w:p>
    <w:p w14:paraId="2FBFE848" w14:textId="77777777" w:rsidR="008A780A" w:rsidRDefault="008A780A" w:rsidP="008A780A">
      <w:pPr>
        <w:autoSpaceDE w:val="0"/>
        <w:autoSpaceDN w:val="0"/>
        <w:adjustRightInd w:val="0"/>
        <w:rPr>
          <w:rFonts w:asciiTheme="minorHAnsi" w:eastAsiaTheme="minorHAnsi" w:hAnsiTheme="minorHAnsi"/>
          <w:color w:val="auto"/>
          <w:sz w:val="20"/>
          <w:szCs w:val="20"/>
          <w:lang w:val="sr-Cyrl-BA" w:eastAsia="en-US"/>
        </w:rPr>
      </w:pPr>
    </w:p>
    <w:p w14:paraId="703ED630" w14:textId="77777777" w:rsidR="00B44F5F" w:rsidRDefault="00B44F5F" w:rsidP="008A780A">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Zahtjev za plaćanje garancije za klijenta Perper plus d.o.o. Laktaši u iznosu od 25.844,24 KM je uputila MF banka a.d. Banja Luka, dana 06.11.2023. godine. Nakon što je utvrđeno da su ispunjeni svi uslovi, Garantni fond Republike Srpske je izvršio plaćanje navedenog iznosa. Dana 20.11.2023. godine, MF banka a.d. Banja Luka je uputila zahtjev za plaćanje garancije u iznosu 90.454,04 KM za klijenta Eko zaštita d.o.o. Bijeljina. Formalnom kontrolom je utvrđeno da klijent nije namjenski utrošio kreditna sredstva, te je zahtjev za plaćanje odbijen.</w:t>
      </w:r>
    </w:p>
    <w:p w14:paraId="35ABECF1" w14:textId="77777777" w:rsidR="008A780A" w:rsidRDefault="008A780A" w:rsidP="008A780A">
      <w:pPr>
        <w:autoSpaceDE w:val="0"/>
        <w:autoSpaceDN w:val="0"/>
        <w:adjustRightInd w:val="0"/>
        <w:rPr>
          <w:rFonts w:asciiTheme="minorHAnsi" w:eastAsiaTheme="minorHAnsi" w:hAnsiTheme="minorHAnsi"/>
          <w:color w:val="auto"/>
          <w:sz w:val="20"/>
          <w:szCs w:val="20"/>
          <w:lang w:val="sr-Cyrl-BA" w:eastAsia="en-US"/>
        </w:rPr>
      </w:pPr>
    </w:p>
    <w:p w14:paraId="1FADBCFC" w14:textId="77777777" w:rsidR="001538EF" w:rsidRDefault="00876546" w:rsidP="001538EF">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U skladu sa Izmjenama i dopunama Zakona o Garantnom fondu Republike Srpske („Službeni glasnik RS“ broj 107/2019), omogućeno je izdavanje garancija radi djelimičnog obezbjeđenja emitovanih hartija od vrijednosti. U skladu s tim, garancija za nalogodavca Interlignum d.o.o. Teslić je izdana kao djelimično obezbjeđenje emitovanih obveznica klijenta, a izdana je u korist Centralnog registra za hartije od vrijednosti, koji ima ulogu platnog agenta. Specifičnost ovog garantnog posla je u tome što su garancije vezane za mjesečni anuitet, te se izdaje pojedinačna garancija u vrijednosti 60% svakog mjesečnog anuiteta. Iako je definisana jedinstvena garancija na nivou cjelokupne emisije, u stvarnosti ima onoliko garancija koliko ima mjesečnih anuiteta. Tokom oktobra, novembra i decembra 2023. godine, Centralni registar HOV je podnio zahtjeve za plaćanje 3 garancije vezane za anuitete koji su dospjeli tokom ova tri mjeseca. Protestovani iznos 3 navedene garancije odgovara nominalnom, a po ovom osnovu je plaćeno 53.165,95 KM.</w:t>
      </w:r>
    </w:p>
    <w:p w14:paraId="6737C472" w14:textId="77777777" w:rsidR="001D04EC" w:rsidRDefault="001D04EC" w:rsidP="001538EF">
      <w:pPr>
        <w:autoSpaceDE w:val="0"/>
        <w:autoSpaceDN w:val="0"/>
        <w:adjustRightInd w:val="0"/>
        <w:rPr>
          <w:rFonts w:asciiTheme="minorHAnsi" w:eastAsiaTheme="minorHAnsi" w:hAnsiTheme="minorHAnsi"/>
          <w:color w:val="auto"/>
          <w:sz w:val="20"/>
          <w:szCs w:val="20"/>
          <w:lang w:val="sr-Cyrl-BA" w:eastAsia="en-US"/>
        </w:rPr>
      </w:pPr>
    </w:p>
    <w:p w14:paraId="61782C65" w14:textId="77777777" w:rsidR="001D04EC" w:rsidRDefault="001D04EC" w:rsidP="001538EF">
      <w:pPr>
        <w:autoSpaceDE w:val="0"/>
        <w:autoSpaceDN w:val="0"/>
        <w:adjustRightInd w:val="0"/>
        <w:rPr>
          <w:rFonts w:asciiTheme="minorHAnsi" w:eastAsiaTheme="minorHAnsi" w:hAnsiTheme="minorHAnsi"/>
          <w:color w:val="auto"/>
          <w:sz w:val="20"/>
          <w:szCs w:val="20"/>
          <w:lang w:val="sr-Cyrl-BA" w:eastAsia="en-US"/>
        </w:rPr>
      </w:pPr>
    </w:p>
    <w:p w14:paraId="5A4BF682" w14:textId="77777777" w:rsidR="001D04EC" w:rsidRDefault="001D04EC" w:rsidP="001538EF">
      <w:pPr>
        <w:autoSpaceDE w:val="0"/>
        <w:autoSpaceDN w:val="0"/>
        <w:adjustRightInd w:val="0"/>
        <w:rPr>
          <w:rFonts w:asciiTheme="minorHAnsi" w:eastAsiaTheme="minorHAnsi" w:hAnsiTheme="minorHAnsi"/>
          <w:color w:val="auto"/>
          <w:sz w:val="20"/>
          <w:szCs w:val="20"/>
          <w:lang w:val="sr-Cyrl-BA" w:eastAsia="en-US"/>
        </w:rPr>
      </w:pPr>
    </w:p>
    <w:p w14:paraId="2F3CAE92" w14:textId="77777777" w:rsidR="001D04EC" w:rsidRDefault="001D04EC" w:rsidP="001538EF">
      <w:pPr>
        <w:autoSpaceDE w:val="0"/>
        <w:autoSpaceDN w:val="0"/>
        <w:adjustRightInd w:val="0"/>
        <w:rPr>
          <w:rFonts w:asciiTheme="minorHAnsi" w:eastAsiaTheme="minorHAnsi" w:hAnsiTheme="minorHAnsi"/>
          <w:color w:val="auto"/>
          <w:sz w:val="20"/>
          <w:szCs w:val="20"/>
          <w:lang w:val="sr-Latn-BA" w:eastAsia="en-US"/>
        </w:rPr>
      </w:pPr>
    </w:p>
    <w:p w14:paraId="20A7E7BE" w14:textId="77777777" w:rsidR="006A3C9A" w:rsidRDefault="006A3C9A" w:rsidP="001538EF">
      <w:pPr>
        <w:autoSpaceDE w:val="0"/>
        <w:autoSpaceDN w:val="0"/>
        <w:adjustRightInd w:val="0"/>
        <w:rPr>
          <w:rFonts w:asciiTheme="minorHAnsi" w:eastAsiaTheme="minorHAnsi" w:hAnsiTheme="minorHAnsi"/>
          <w:color w:val="auto"/>
          <w:sz w:val="20"/>
          <w:szCs w:val="20"/>
          <w:lang w:val="sr-Latn-BA" w:eastAsia="en-US"/>
        </w:rPr>
      </w:pPr>
    </w:p>
    <w:p w14:paraId="085E16C7" w14:textId="77777777" w:rsidR="006A3C9A" w:rsidRDefault="006A3C9A" w:rsidP="001538EF">
      <w:pPr>
        <w:autoSpaceDE w:val="0"/>
        <w:autoSpaceDN w:val="0"/>
        <w:adjustRightInd w:val="0"/>
        <w:rPr>
          <w:rFonts w:asciiTheme="minorHAnsi" w:eastAsiaTheme="minorHAnsi" w:hAnsiTheme="minorHAnsi"/>
          <w:color w:val="auto"/>
          <w:sz w:val="20"/>
          <w:szCs w:val="20"/>
          <w:lang w:val="sr-Latn-BA" w:eastAsia="en-US"/>
        </w:rPr>
      </w:pPr>
    </w:p>
    <w:p w14:paraId="3D6657FF" w14:textId="77777777" w:rsidR="006A3C9A" w:rsidRDefault="006A3C9A" w:rsidP="001538EF">
      <w:pPr>
        <w:autoSpaceDE w:val="0"/>
        <w:autoSpaceDN w:val="0"/>
        <w:adjustRightInd w:val="0"/>
        <w:rPr>
          <w:rFonts w:asciiTheme="minorHAnsi" w:eastAsiaTheme="minorHAnsi" w:hAnsiTheme="minorHAnsi"/>
          <w:color w:val="auto"/>
          <w:sz w:val="20"/>
          <w:szCs w:val="20"/>
          <w:lang w:val="sr-Latn-BA" w:eastAsia="en-US"/>
        </w:rPr>
      </w:pPr>
    </w:p>
    <w:p w14:paraId="3AD29953" w14:textId="77777777" w:rsidR="006A3C9A" w:rsidRPr="006A3C9A" w:rsidRDefault="006A3C9A" w:rsidP="001538EF">
      <w:pPr>
        <w:autoSpaceDE w:val="0"/>
        <w:autoSpaceDN w:val="0"/>
        <w:adjustRightInd w:val="0"/>
        <w:rPr>
          <w:rFonts w:asciiTheme="minorHAnsi" w:eastAsiaTheme="minorHAnsi" w:hAnsiTheme="minorHAnsi"/>
          <w:color w:val="auto"/>
          <w:sz w:val="20"/>
          <w:szCs w:val="20"/>
          <w:lang w:val="sr-Latn-BA" w:eastAsia="en-US"/>
        </w:rPr>
      </w:pPr>
    </w:p>
    <w:tbl>
      <w:tblPr>
        <w:tblpPr w:leftFromText="180" w:rightFromText="180" w:vertAnchor="text" w:horzAnchor="margin" w:tblpX="108" w:tblpY="103"/>
        <w:tblW w:w="8755" w:type="dxa"/>
        <w:tblLook w:val="04A0" w:firstRow="1" w:lastRow="0" w:firstColumn="1" w:lastColumn="0" w:noHBand="0" w:noVBand="1"/>
      </w:tblPr>
      <w:tblGrid>
        <w:gridCol w:w="2235"/>
        <w:gridCol w:w="2268"/>
        <w:gridCol w:w="2268"/>
        <w:gridCol w:w="1984"/>
      </w:tblGrid>
      <w:tr w:rsidR="00444987" w:rsidRPr="005767EF" w14:paraId="55364BA3" w14:textId="77777777" w:rsidTr="008E0518">
        <w:trPr>
          <w:trHeight w:val="570"/>
        </w:trPr>
        <w:tc>
          <w:tcPr>
            <w:tcW w:w="8755" w:type="dxa"/>
            <w:gridSpan w:val="4"/>
            <w:tcBorders>
              <w:top w:val="nil"/>
              <w:left w:val="nil"/>
              <w:bottom w:val="nil"/>
              <w:right w:val="nil"/>
            </w:tcBorders>
            <w:shd w:val="clear" w:color="000000" w:fill="FFFFFF"/>
            <w:vAlign w:val="center"/>
          </w:tcPr>
          <w:p w14:paraId="4601EC9B" w14:textId="77777777" w:rsidR="00444987" w:rsidRPr="005767EF" w:rsidRDefault="00444987" w:rsidP="00BE15F9">
            <w:pPr>
              <w:jc w:val="left"/>
              <w:rPr>
                <w:rFonts w:asciiTheme="minorHAnsi" w:hAnsiTheme="minorHAnsi"/>
                <w:b/>
                <w:bCs/>
                <w:sz w:val="20"/>
                <w:szCs w:val="20"/>
                <w:lang w:val="sr-Cyrl-BA" w:eastAsia="sr-Latn-RS"/>
              </w:rPr>
            </w:pPr>
          </w:p>
          <w:tbl>
            <w:tblPr>
              <w:tblW w:w="8006" w:type="dxa"/>
              <w:tblInd w:w="108" w:type="dxa"/>
              <w:tblLook w:val="04A0" w:firstRow="1" w:lastRow="0" w:firstColumn="1" w:lastColumn="0" w:noHBand="0" w:noVBand="1"/>
            </w:tblPr>
            <w:tblGrid>
              <w:gridCol w:w="8006"/>
            </w:tblGrid>
            <w:tr w:rsidR="00444987" w:rsidRPr="005767EF" w14:paraId="11DBDC71" w14:textId="77777777" w:rsidTr="002A1C02">
              <w:trPr>
                <w:trHeight w:val="465"/>
              </w:trPr>
              <w:tc>
                <w:tcPr>
                  <w:tcW w:w="8006" w:type="dxa"/>
                  <w:tcBorders>
                    <w:top w:val="nil"/>
                    <w:left w:val="nil"/>
                    <w:bottom w:val="nil"/>
                    <w:right w:val="nil"/>
                  </w:tcBorders>
                  <w:shd w:val="clear" w:color="000000" w:fill="FFFFFF"/>
                  <w:vAlign w:val="center"/>
                  <w:hideMark/>
                </w:tcPr>
                <w:p w14:paraId="52DEE0C8" w14:textId="77777777" w:rsidR="00444987" w:rsidRDefault="00444987" w:rsidP="00A52A18">
                  <w:pPr>
                    <w:framePr w:hSpace="180" w:wrap="around" w:vAnchor="text" w:hAnchor="margin" w:x="108" w:y="103"/>
                    <w:jc w:val="center"/>
                    <w:rPr>
                      <w:rFonts w:asciiTheme="minorHAnsi" w:hAnsiTheme="minorHAnsi"/>
                      <w:b/>
                      <w:bCs/>
                      <w:sz w:val="20"/>
                      <w:szCs w:val="20"/>
                      <w:lang w:val="sr-Cyrl-RS" w:eastAsia="sr-Latn-RS"/>
                    </w:rPr>
                  </w:pPr>
                  <w:r w:rsidRPr="005767EF">
                    <w:rPr>
                      <w:rFonts w:asciiTheme="minorHAnsi" w:hAnsiTheme="minorHAnsi"/>
                      <w:b/>
                      <w:bCs/>
                      <w:sz w:val="20"/>
                      <w:szCs w:val="20"/>
                      <w:lang w:eastAsia="sr-Latn-RS"/>
                    </w:rPr>
                    <w:t xml:space="preserve">         Kumulativni pregled izdanih garancija u okviru garantnih linija u periodu </w:t>
                  </w:r>
                </w:p>
                <w:p w14:paraId="4B6236C4" w14:textId="77777777" w:rsidR="00444987" w:rsidRPr="005767EF" w:rsidRDefault="00444987" w:rsidP="00A52A18">
                  <w:pPr>
                    <w:framePr w:hSpace="180" w:wrap="around" w:vAnchor="text" w:hAnchor="margin" w:x="108" w:y="103"/>
                    <w:jc w:val="center"/>
                    <w:rPr>
                      <w:rFonts w:asciiTheme="minorHAnsi" w:hAnsiTheme="minorHAnsi"/>
                      <w:b/>
                      <w:bCs/>
                      <w:sz w:val="20"/>
                      <w:szCs w:val="20"/>
                      <w:lang w:val="sr-Latn-RS" w:eastAsia="sr-Latn-RS"/>
                    </w:rPr>
                  </w:pPr>
                  <w:r w:rsidRPr="005767EF">
                    <w:rPr>
                      <w:rFonts w:asciiTheme="minorHAnsi" w:hAnsiTheme="minorHAnsi"/>
                      <w:b/>
                      <w:bCs/>
                      <w:sz w:val="20"/>
                      <w:szCs w:val="20"/>
                      <w:lang w:eastAsia="sr-Latn-RS"/>
                    </w:rPr>
                    <w:t>2011. - 2023. Godine</w:t>
                  </w:r>
                </w:p>
              </w:tc>
            </w:tr>
          </w:tbl>
          <w:p w14:paraId="3AA4895B" w14:textId="77777777" w:rsidR="00444987" w:rsidRPr="005767EF" w:rsidRDefault="00444987" w:rsidP="00BE15F9">
            <w:pPr>
              <w:jc w:val="left"/>
              <w:rPr>
                <w:rFonts w:asciiTheme="minorHAnsi" w:hAnsiTheme="minorHAnsi"/>
                <w:b/>
                <w:bCs/>
                <w:sz w:val="20"/>
                <w:szCs w:val="20"/>
                <w:lang w:val="sr-Cyrl-BA" w:eastAsia="sr-Latn-RS"/>
              </w:rPr>
            </w:pPr>
          </w:p>
        </w:tc>
      </w:tr>
      <w:tr w:rsidR="00444987" w:rsidRPr="005767EF" w14:paraId="7470DE3E" w14:textId="77777777" w:rsidTr="00BE15F9">
        <w:trPr>
          <w:trHeight w:val="267"/>
        </w:trPr>
        <w:tc>
          <w:tcPr>
            <w:tcW w:w="8755" w:type="dxa"/>
            <w:gridSpan w:val="4"/>
            <w:tcBorders>
              <w:top w:val="nil"/>
              <w:left w:val="nil"/>
              <w:bottom w:val="nil"/>
              <w:right w:val="nil"/>
            </w:tcBorders>
            <w:shd w:val="clear" w:color="000000" w:fill="FFFFFF"/>
            <w:vAlign w:val="center"/>
          </w:tcPr>
          <w:p w14:paraId="1F00956B" w14:textId="77777777" w:rsidR="00444987" w:rsidRPr="005767EF" w:rsidRDefault="00444987" w:rsidP="00BE15F9">
            <w:pPr>
              <w:jc w:val="right"/>
              <w:rPr>
                <w:rFonts w:asciiTheme="minorHAnsi" w:hAnsiTheme="minorHAnsi"/>
                <w:b/>
                <w:bCs/>
                <w:sz w:val="20"/>
                <w:szCs w:val="20"/>
                <w:lang w:val="sr-Cyrl-BA" w:eastAsia="sr-Latn-RS"/>
              </w:rPr>
            </w:pPr>
            <w:r w:rsidRPr="005767EF">
              <w:rPr>
                <w:rFonts w:asciiTheme="minorHAnsi" w:hAnsiTheme="minorHAnsi"/>
                <w:b/>
                <w:bCs/>
                <w:sz w:val="20"/>
                <w:szCs w:val="20"/>
                <w:lang w:eastAsia="sr-Latn-RS"/>
              </w:rPr>
              <w:t>Tabela 7</w:t>
            </w:r>
          </w:p>
        </w:tc>
      </w:tr>
      <w:tr w:rsidR="00444987" w:rsidRPr="005767EF" w14:paraId="3E896D99" w14:textId="77777777" w:rsidTr="00BE15F9">
        <w:trPr>
          <w:trHeight w:val="377"/>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90AEF74" w14:textId="04A1924C" w:rsidR="00444987" w:rsidRPr="005767EF" w:rsidRDefault="00444987" w:rsidP="00BE15F9">
            <w:pPr>
              <w:jc w:val="center"/>
              <w:rPr>
                <w:rFonts w:asciiTheme="minorHAnsi" w:hAnsiTheme="minorHAnsi"/>
                <w:b/>
                <w:sz w:val="20"/>
                <w:szCs w:val="20"/>
              </w:rPr>
            </w:pPr>
            <w:r w:rsidRPr="005767EF">
              <w:rPr>
                <w:rFonts w:asciiTheme="minorHAnsi" w:hAnsiTheme="minorHAnsi"/>
                <w:b/>
                <w:sz w:val="20"/>
                <w:szCs w:val="20"/>
                <w:lang w:eastAsia="sr-Latn-RS"/>
              </w:rPr>
              <w:t>Godin</w:t>
            </w:r>
            <w:r w:rsidR="006A3C9A">
              <w:rPr>
                <w:rFonts w:asciiTheme="minorHAnsi" w:hAnsiTheme="minorHAnsi"/>
                <w:b/>
                <w:sz w:val="20"/>
                <w:szCs w:val="20"/>
                <w:lang w:eastAsia="sr-Latn-RS"/>
              </w:rPr>
              <w:t>a</w:t>
            </w:r>
          </w:p>
          <w:p w14:paraId="23910398" w14:textId="77777777" w:rsidR="00444987" w:rsidRPr="005767EF" w:rsidRDefault="00444987" w:rsidP="00BE15F9">
            <w:pPr>
              <w:jc w:val="center"/>
              <w:rPr>
                <w:rFonts w:asciiTheme="minorHAnsi" w:hAnsiTheme="minorHAnsi"/>
                <w:b/>
                <w:sz w:val="20"/>
                <w:szCs w:val="20"/>
                <w:lang w:val="sr-Latn-RS" w:eastAsia="sr-Latn-RS"/>
              </w:rPr>
            </w:pP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0D439884" w14:textId="77777777"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Broj</w:t>
            </w:r>
          </w:p>
          <w:p w14:paraId="753EBF90" w14:textId="06AC05A4" w:rsidR="00444987" w:rsidRPr="00245931" w:rsidRDefault="006A3C9A" w:rsidP="00BE15F9">
            <w:pPr>
              <w:jc w:val="center"/>
              <w:rPr>
                <w:rFonts w:asciiTheme="minorHAnsi" w:hAnsiTheme="minorHAnsi"/>
                <w:b/>
                <w:sz w:val="20"/>
                <w:szCs w:val="20"/>
                <w:lang w:val="sr-Cyrl-RS"/>
              </w:rPr>
            </w:pPr>
            <w:r>
              <w:rPr>
                <w:rFonts w:asciiTheme="minorHAnsi" w:hAnsiTheme="minorHAnsi"/>
                <w:b/>
                <w:sz w:val="20"/>
                <w:szCs w:val="20"/>
                <w:lang w:eastAsia="sr-Latn-RS"/>
              </w:rPr>
              <w:t>g</w:t>
            </w:r>
            <w:r w:rsidR="00444987" w:rsidRPr="005767EF">
              <w:rPr>
                <w:rFonts w:asciiTheme="minorHAnsi" w:hAnsiTheme="minorHAnsi"/>
                <w:b/>
                <w:sz w:val="20"/>
                <w:szCs w:val="20"/>
                <w:lang w:eastAsia="sr-Latn-RS"/>
              </w:rPr>
              <w:t>arancij</w:t>
            </w:r>
            <w:r>
              <w:rPr>
                <w:rFonts w:asciiTheme="minorHAnsi" w:hAnsiTheme="minorHAnsi"/>
                <w:b/>
                <w:sz w:val="20"/>
                <w:szCs w:val="20"/>
                <w:lang w:eastAsia="sr-Latn-RS"/>
              </w:rPr>
              <w:t>a</w:t>
            </w:r>
          </w:p>
        </w:tc>
        <w:tc>
          <w:tcPr>
            <w:tcW w:w="226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0347FFB0" w14:textId="77777777"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Iznos kredita</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7C28A686" w14:textId="52BC20BE"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Iznos garancij</w:t>
            </w:r>
            <w:r w:rsidR="006A3C9A">
              <w:rPr>
                <w:rFonts w:asciiTheme="minorHAnsi" w:hAnsiTheme="minorHAnsi"/>
                <w:b/>
                <w:sz w:val="20"/>
                <w:szCs w:val="20"/>
                <w:lang w:eastAsia="sr-Latn-RS"/>
              </w:rPr>
              <w:t>a</w:t>
            </w:r>
          </w:p>
        </w:tc>
      </w:tr>
      <w:tr w:rsidR="00444987" w:rsidRPr="005767EF" w14:paraId="2968F581"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3E6E5C"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B1C88DA"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4</w:t>
            </w:r>
          </w:p>
        </w:tc>
        <w:tc>
          <w:tcPr>
            <w:tcW w:w="2268" w:type="dxa"/>
            <w:tcBorders>
              <w:top w:val="nil"/>
              <w:left w:val="nil"/>
              <w:bottom w:val="single" w:sz="4" w:space="0" w:color="auto"/>
              <w:right w:val="single" w:sz="4" w:space="0" w:color="auto"/>
            </w:tcBorders>
            <w:shd w:val="clear" w:color="000000" w:fill="FFFFFF"/>
            <w:vAlign w:val="center"/>
            <w:hideMark/>
          </w:tcPr>
          <w:p w14:paraId="00BAED57"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5.854.000,00</w:t>
            </w:r>
          </w:p>
        </w:tc>
        <w:tc>
          <w:tcPr>
            <w:tcW w:w="1984" w:type="dxa"/>
            <w:tcBorders>
              <w:top w:val="nil"/>
              <w:left w:val="nil"/>
              <w:bottom w:val="single" w:sz="4" w:space="0" w:color="auto"/>
              <w:right w:val="single" w:sz="4" w:space="0" w:color="auto"/>
            </w:tcBorders>
            <w:shd w:val="clear" w:color="000000" w:fill="FFFFFF"/>
            <w:vAlign w:val="center"/>
            <w:hideMark/>
          </w:tcPr>
          <w:p w14:paraId="1E2FC36D"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1.450.000,00</w:t>
            </w:r>
          </w:p>
        </w:tc>
      </w:tr>
      <w:tr w:rsidR="00444987" w:rsidRPr="005767EF" w14:paraId="6ABE71FF"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9F3117"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2012</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82B0BAC"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17</w:t>
            </w:r>
          </w:p>
        </w:tc>
        <w:tc>
          <w:tcPr>
            <w:tcW w:w="2268" w:type="dxa"/>
            <w:tcBorders>
              <w:top w:val="nil"/>
              <w:left w:val="nil"/>
              <w:bottom w:val="single" w:sz="4" w:space="0" w:color="auto"/>
              <w:right w:val="single" w:sz="4" w:space="0" w:color="auto"/>
            </w:tcBorders>
            <w:shd w:val="clear" w:color="000000" w:fill="FFFFFF"/>
            <w:vAlign w:val="center"/>
            <w:hideMark/>
          </w:tcPr>
          <w:p w14:paraId="766B8C37"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6.307.945,87</w:t>
            </w:r>
          </w:p>
        </w:tc>
        <w:tc>
          <w:tcPr>
            <w:tcW w:w="1984" w:type="dxa"/>
            <w:tcBorders>
              <w:top w:val="nil"/>
              <w:left w:val="nil"/>
              <w:bottom w:val="single" w:sz="4" w:space="0" w:color="auto"/>
              <w:right w:val="single" w:sz="4" w:space="0" w:color="auto"/>
            </w:tcBorders>
            <w:shd w:val="clear" w:color="000000" w:fill="FFFFFF"/>
            <w:vAlign w:val="center"/>
            <w:hideMark/>
          </w:tcPr>
          <w:p w14:paraId="16EF05CE"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2.872.972,94</w:t>
            </w:r>
          </w:p>
        </w:tc>
      </w:tr>
      <w:tr w:rsidR="00444987" w:rsidRPr="005767EF" w14:paraId="3F37DFBB"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282C63"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2013</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4B3BA942"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18</w:t>
            </w:r>
          </w:p>
        </w:tc>
        <w:tc>
          <w:tcPr>
            <w:tcW w:w="2268" w:type="dxa"/>
            <w:tcBorders>
              <w:top w:val="nil"/>
              <w:left w:val="nil"/>
              <w:bottom w:val="single" w:sz="4" w:space="0" w:color="auto"/>
              <w:right w:val="single" w:sz="4" w:space="0" w:color="auto"/>
            </w:tcBorders>
            <w:shd w:val="clear" w:color="000000" w:fill="FFFFFF"/>
            <w:vAlign w:val="center"/>
            <w:hideMark/>
          </w:tcPr>
          <w:p w14:paraId="4AD913E8"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15.156.463,45</w:t>
            </w:r>
          </w:p>
        </w:tc>
        <w:tc>
          <w:tcPr>
            <w:tcW w:w="1984" w:type="dxa"/>
            <w:tcBorders>
              <w:top w:val="nil"/>
              <w:left w:val="nil"/>
              <w:bottom w:val="single" w:sz="4" w:space="0" w:color="auto"/>
              <w:right w:val="single" w:sz="4" w:space="0" w:color="auto"/>
            </w:tcBorders>
            <w:shd w:val="clear" w:color="000000" w:fill="FFFFFF"/>
            <w:vAlign w:val="center"/>
            <w:hideMark/>
          </w:tcPr>
          <w:p w14:paraId="04DD7756"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4.546.431,84</w:t>
            </w:r>
          </w:p>
        </w:tc>
      </w:tr>
      <w:tr w:rsidR="00444987" w:rsidRPr="005767EF" w14:paraId="07CF1BDB"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8ED955"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2014</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4C3467E5"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32</w:t>
            </w:r>
          </w:p>
        </w:tc>
        <w:tc>
          <w:tcPr>
            <w:tcW w:w="2268" w:type="dxa"/>
            <w:tcBorders>
              <w:top w:val="nil"/>
              <w:left w:val="nil"/>
              <w:bottom w:val="single" w:sz="4" w:space="0" w:color="auto"/>
              <w:right w:val="single" w:sz="4" w:space="0" w:color="auto"/>
            </w:tcBorders>
            <w:shd w:val="clear" w:color="000000" w:fill="FFFFFF"/>
            <w:vAlign w:val="center"/>
            <w:hideMark/>
          </w:tcPr>
          <w:p w14:paraId="1182AA1D"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36.457.404,56</w:t>
            </w:r>
          </w:p>
        </w:tc>
        <w:tc>
          <w:tcPr>
            <w:tcW w:w="1984" w:type="dxa"/>
            <w:tcBorders>
              <w:top w:val="nil"/>
              <w:left w:val="nil"/>
              <w:bottom w:val="single" w:sz="4" w:space="0" w:color="auto"/>
              <w:right w:val="single" w:sz="4" w:space="0" w:color="auto"/>
            </w:tcBorders>
            <w:shd w:val="clear" w:color="000000" w:fill="FFFFFF"/>
            <w:vAlign w:val="center"/>
            <w:hideMark/>
          </w:tcPr>
          <w:p w14:paraId="5CC4DFEB"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9.108.346,44</w:t>
            </w:r>
          </w:p>
        </w:tc>
      </w:tr>
      <w:tr w:rsidR="00444987" w:rsidRPr="005767EF" w14:paraId="7661BB31"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6C6019"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2015</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6BAF7A1E"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12</w:t>
            </w:r>
          </w:p>
        </w:tc>
        <w:tc>
          <w:tcPr>
            <w:tcW w:w="2268" w:type="dxa"/>
            <w:tcBorders>
              <w:top w:val="nil"/>
              <w:left w:val="nil"/>
              <w:bottom w:val="single" w:sz="4" w:space="0" w:color="auto"/>
              <w:right w:val="single" w:sz="4" w:space="0" w:color="auto"/>
            </w:tcBorders>
            <w:shd w:val="clear" w:color="000000" w:fill="FFFFFF"/>
            <w:vAlign w:val="center"/>
            <w:hideMark/>
          </w:tcPr>
          <w:p w14:paraId="45ECC556"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8.380.980,00</w:t>
            </w:r>
          </w:p>
        </w:tc>
        <w:tc>
          <w:tcPr>
            <w:tcW w:w="1984" w:type="dxa"/>
            <w:tcBorders>
              <w:top w:val="nil"/>
              <w:left w:val="nil"/>
              <w:bottom w:val="single" w:sz="4" w:space="0" w:color="auto"/>
              <w:right w:val="single" w:sz="4" w:space="0" w:color="auto"/>
            </w:tcBorders>
            <w:shd w:val="clear" w:color="000000" w:fill="FFFFFF"/>
            <w:vAlign w:val="center"/>
            <w:hideMark/>
          </w:tcPr>
          <w:p w14:paraId="275B5893"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3.122.990,00</w:t>
            </w:r>
          </w:p>
        </w:tc>
      </w:tr>
      <w:tr w:rsidR="00444987" w:rsidRPr="005767EF" w14:paraId="52BD1E1F"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57450F"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2016</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501067A"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14:paraId="6362285F"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3.587.398,07</w:t>
            </w:r>
          </w:p>
        </w:tc>
        <w:tc>
          <w:tcPr>
            <w:tcW w:w="1984" w:type="dxa"/>
            <w:tcBorders>
              <w:top w:val="nil"/>
              <w:left w:val="nil"/>
              <w:bottom w:val="single" w:sz="4" w:space="0" w:color="auto"/>
              <w:right w:val="single" w:sz="4" w:space="0" w:color="auto"/>
            </w:tcBorders>
            <w:shd w:val="clear" w:color="000000" w:fill="FFFFFF"/>
            <w:vAlign w:val="center"/>
            <w:hideMark/>
          </w:tcPr>
          <w:p w14:paraId="47B3AB3D"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1.634.321,99</w:t>
            </w:r>
          </w:p>
        </w:tc>
      </w:tr>
      <w:tr w:rsidR="00444987" w:rsidRPr="005767EF" w14:paraId="4BB9B99A"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3978BC"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2017</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3D9863D"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15</w:t>
            </w:r>
          </w:p>
        </w:tc>
        <w:tc>
          <w:tcPr>
            <w:tcW w:w="2268" w:type="dxa"/>
            <w:tcBorders>
              <w:top w:val="nil"/>
              <w:left w:val="nil"/>
              <w:bottom w:val="single" w:sz="4" w:space="0" w:color="auto"/>
              <w:right w:val="single" w:sz="4" w:space="0" w:color="auto"/>
            </w:tcBorders>
            <w:shd w:val="clear" w:color="000000" w:fill="FFFFFF"/>
            <w:vAlign w:val="center"/>
            <w:hideMark/>
          </w:tcPr>
          <w:p w14:paraId="4AFF7FA4"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5.694.749,40</w:t>
            </w:r>
          </w:p>
        </w:tc>
        <w:tc>
          <w:tcPr>
            <w:tcW w:w="1984" w:type="dxa"/>
            <w:tcBorders>
              <w:top w:val="nil"/>
              <w:left w:val="nil"/>
              <w:bottom w:val="single" w:sz="4" w:space="0" w:color="auto"/>
              <w:right w:val="single" w:sz="4" w:space="0" w:color="auto"/>
            </w:tcBorders>
            <w:shd w:val="clear" w:color="000000" w:fill="FFFFFF"/>
            <w:vAlign w:val="center"/>
            <w:hideMark/>
          </w:tcPr>
          <w:p w14:paraId="46D09A3C"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2.473.763,48</w:t>
            </w:r>
          </w:p>
        </w:tc>
      </w:tr>
      <w:tr w:rsidR="00444987" w:rsidRPr="005767EF" w14:paraId="52BD66EE"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121F90"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2018</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6551B040"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28</w:t>
            </w:r>
          </w:p>
        </w:tc>
        <w:tc>
          <w:tcPr>
            <w:tcW w:w="2268" w:type="dxa"/>
            <w:tcBorders>
              <w:top w:val="nil"/>
              <w:left w:val="nil"/>
              <w:bottom w:val="single" w:sz="4" w:space="0" w:color="auto"/>
              <w:right w:val="single" w:sz="4" w:space="0" w:color="auto"/>
            </w:tcBorders>
            <w:shd w:val="clear" w:color="000000" w:fill="FFFFFF"/>
            <w:vAlign w:val="center"/>
            <w:hideMark/>
          </w:tcPr>
          <w:p w14:paraId="09E37865"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7.142.900,00</w:t>
            </w:r>
          </w:p>
        </w:tc>
        <w:tc>
          <w:tcPr>
            <w:tcW w:w="1984" w:type="dxa"/>
            <w:tcBorders>
              <w:top w:val="nil"/>
              <w:left w:val="nil"/>
              <w:bottom w:val="single" w:sz="4" w:space="0" w:color="auto"/>
              <w:right w:val="single" w:sz="4" w:space="0" w:color="auto"/>
            </w:tcBorders>
            <w:shd w:val="clear" w:color="000000" w:fill="FFFFFF"/>
            <w:vAlign w:val="center"/>
            <w:hideMark/>
          </w:tcPr>
          <w:p w14:paraId="768E78CE"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2.757.978,00</w:t>
            </w:r>
          </w:p>
        </w:tc>
      </w:tr>
      <w:tr w:rsidR="00444987" w:rsidRPr="005767EF" w14:paraId="3F185061"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22881C"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2019</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2CC773C"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14:paraId="49070333"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6.084.461,10</w:t>
            </w:r>
          </w:p>
        </w:tc>
        <w:tc>
          <w:tcPr>
            <w:tcW w:w="1984" w:type="dxa"/>
            <w:tcBorders>
              <w:top w:val="nil"/>
              <w:left w:val="nil"/>
              <w:bottom w:val="single" w:sz="4" w:space="0" w:color="auto"/>
              <w:right w:val="single" w:sz="4" w:space="0" w:color="auto"/>
            </w:tcBorders>
            <w:shd w:val="clear" w:color="000000" w:fill="FFFFFF"/>
            <w:vAlign w:val="center"/>
            <w:hideMark/>
          </w:tcPr>
          <w:p w14:paraId="2D12A387"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2.040.914,27</w:t>
            </w:r>
          </w:p>
        </w:tc>
      </w:tr>
      <w:tr w:rsidR="00444987" w:rsidRPr="005767EF" w14:paraId="0C27DBB2"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D06704"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2020</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00CCCC3"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38</w:t>
            </w:r>
          </w:p>
        </w:tc>
        <w:tc>
          <w:tcPr>
            <w:tcW w:w="2268" w:type="dxa"/>
            <w:tcBorders>
              <w:top w:val="nil"/>
              <w:left w:val="nil"/>
              <w:bottom w:val="single" w:sz="4" w:space="0" w:color="auto"/>
              <w:right w:val="single" w:sz="4" w:space="0" w:color="auto"/>
            </w:tcBorders>
            <w:shd w:val="clear" w:color="000000" w:fill="FFFFFF"/>
            <w:vAlign w:val="center"/>
            <w:hideMark/>
          </w:tcPr>
          <w:p w14:paraId="7618132D"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22.486.800,00</w:t>
            </w:r>
          </w:p>
        </w:tc>
        <w:tc>
          <w:tcPr>
            <w:tcW w:w="1984" w:type="dxa"/>
            <w:tcBorders>
              <w:top w:val="nil"/>
              <w:left w:val="nil"/>
              <w:bottom w:val="single" w:sz="4" w:space="0" w:color="auto"/>
              <w:right w:val="single" w:sz="4" w:space="0" w:color="auto"/>
            </w:tcBorders>
            <w:shd w:val="clear" w:color="000000" w:fill="FFFFFF"/>
            <w:vAlign w:val="center"/>
            <w:hideMark/>
          </w:tcPr>
          <w:p w14:paraId="14A4AA59"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10.791.400,00</w:t>
            </w:r>
          </w:p>
        </w:tc>
      </w:tr>
      <w:tr w:rsidR="00444987" w:rsidRPr="005767EF" w14:paraId="508779B2"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23FA74"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2021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F4C1639"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46</w:t>
            </w:r>
          </w:p>
        </w:tc>
        <w:tc>
          <w:tcPr>
            <w:tcW w:w="2268" w:type="dxa"/>
            <w:tcBorders>
              <w:top w:val="nil"/>
              <w:left w:val="nil"/>
              <w:bottom w:val="single" w:sz="4" w:space="0" w:color="auto"/>
              <w:right w:val="single" w:sz="4" w:space="0" w:color="auto"/>
            </w:tcBorders>
            <w:shd w:val="clear" w:color="000000" w:fill="FFFFFF"/>
            <w:vAlign w:val="center"/>
            <w:hideMark/>
          </w:tcPr>
          <w:p w14:paraId="14FD59B5"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24.375.144,64</w:t>
            </w:r>
          </w:p>
        </w:tc>
        <w:tc>
          <w:tcPr>
            <w:tcW w:w="1984" w:type="dxa"/>
            <w:tcBorders>
              <w:top w:val="nil"/>
              <w:left w:val="nil"/>
              <w:bottom w:val="single" w:sz="4" w:space="0" w:color="auto"/>
              <w:right w:val="single" w:sz="4" w:space="0" w:color="auto"/>
            </w:tcBorders>
            <w:shd w:val="clear" w:color="000000" w:fill="FFFFFF"/>
            <w:vAlign w:val="center"/>
            <w:hideMark/>
          </w:tcPr>
          <w:p w14:paraId="566735CA"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10.795.782,32</w:t>
            </w:r>
          </w:p>
        </w:tc>
      </w:tr>
      <w:tr w:rsidR="00444987" w:rsidRPr="005767EF" w14:paraId="4B2F2BDB" w14:textId="77777777"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549068"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2022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34D174" w14:textId="77777777" w:rsidR="00444987" w:rsidRPr="005767EF" w:rsidRDefault="00444987" w:rsidP="00BE15F9">
            <w:pPr>
              <w:jc w:val="center"/>
              <w:rPr>
                <w:rFonts w:asciiTheme="minorHAnsi" w:hAnsiTheme="minorHAnsi"/>
                <w:sz w:val="20"/>
                <w:szCs w:val="20"/>
                <w:lang w:val="sr-Latn-RS" w:eastAsia="sr-Latn-RS"/>
              </w:rPr>
            </w:pPr>
            <w:r w:rsidRPr="005767EF">
              <w:rPr>
                <w:rFonts w:asciiTheme="minorHAnsi" w:hAnsiTheme="minorHAnsi"/>
                <w:sz w:val="20"/>
                <w:szCs w:val="20"/>
                <w:lang w:eastAsia="sr-Latn-RS"/>
              </w:rPr>
              <w:t>23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085429BC"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16.933.109,22</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1FD1B591" w14:textId="77777777" w:rsidR="00444987" w:rsidRPr="005767EF" w:rsidRDefault="00444987" w:rsidP="00BE15F9">
            <w:pPr>
              <w:jc w:val="right"/>
              <w:rPr>
                <w:rFonts w:asciiTheme="minorHAnsi" w:hAnsiTheme="minorHAnsi"/>
                <w:sz w:val="20"/>
                <w:szCs w:val="20"/>
                <w:lang w:val="sr-Latn-RS" w:eastAsia="sr-Latn-RS"/>
              </w:rPr>
            </w:pPr>
            <w:r w:rsidRPr="005767EF">
              <w:rPr>
                <w:rFonts w:asciiTheme="minorHAnsi" w:hAnsiTheme="minorHAnsi"/>
                <w:sz w:val="20"/>
                <w:szCs w:val="20"/>
                <w:lang w:eastAsia="sr-Latn-RS"/>
              </w:rPr>
              <w:t>7.965.795,16</w:t>
            </w:r>
          </w:p>
        </w:tc>
      </w:tr>
      <w:tr w:rsidR="00444987" w:rsidRPr="005767EF" w14:paraId="0EE02A1F" w14:textId="77777777" w:rsidTr="00BE15F9">
        <w:trPr>
          <w:trHeight w:val="285"/>
        </w:trPr>
        <w:tc>
          <w:tcPr>
            <w:tcW w:w="2235" w:type="dxa"/>
            <w:tcBorders>
              <w:top w:val="single" w:sz="4" w:space="0" w:color="auto"/>
              <w:left w:val="single" w:sz="4" w:space="0" w:color="auto"/>
              <w:bottom w:val="single" w:sz="4" w:space="0" w:color="auto"/>
              <w:right w:val="single" w:sz="4" w:space="0" w:color="auto"/>
            </w:tcBorders>
            <w:shd w:val="clear" w:color="000000" w:fill="F0F0F0"/>
            <w:vAlign w:val="center"/>
          </w:tcPr>
          <w:p w14:paraId="6BB24287" w14:textId="77777777" w:rsidR="00444987" w:rsidRPr="005767EF" w:rsidRDefault="00444987" w:rsidP="00BE15F9">
            <w:pPr>
              <w:jc w:val="center"/>
              <w:rPr>
                <w:rFonts w:asciiTheme="minorHAnsi" w:hAnsiTheme="minorHAnsi"/>
                <w:sz w:val="20"/>
                <w:szCs w:val="20"/>
                <w:lang w:val="sr-Cyrl-BA" w:eastAsia="sr-Latn-RS"/>
              </w:rPr>
            </w:pPr>
            <w:r w:rsidRPr="005767EF">
              <w:rPr>
                <w:rFonts w:asciiTheme="minorHAnsi" w:hAnsiTheme="minorHAnsi"/>
                <w:sz w:val="20"/>
                <w:szCs w:val="20"/>
                <w:lang w:eastAsia="sr-Latn-RS"/>
              </w:rPr>
              <w:t>2023</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14:paraId="30AF2A4F" w14:textId="77777777" w:rsidR="00444987" w:rsidRPr="005767EF" w:rsidRDefault="00444987" w:rsidP="00BE15F9">
            <w:pPr>
              <w:jc w:val="center"/>
              <w:rPr>
                <w:rFonts w:asciiTheme="minorHAnsi" w:hAnsiTheme="minorHAnsi"/>
                <w:sz w:val="20"/>
                <w:szCs w:val="20"/>
                <w:lang w:val="sr-Cyrl-RS" w:eastAsia="sr-Latn-RS"/>
              </w:rPr>
            </w:pPr>
            <w:r w:rsidRPr="005767EF">
              <w:rPr>
                <w:rFonts w:asciiTheme="minorHAnsi" w:hAnsiTheme="minorHAnsi"/>
                <w:sz w:val="20"/>
                <w:szCs w:val="20"/>
                <w:lang w:eastAsia="sr-Latn-RS"/>
              </w:rPr>
              <w:t>8</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14:paraId="4AF6D684" w14:textId="77777777" w:rsidR="00444987" w:rsidRPr="005767EF" w:rsidRDefault="00444987" w:rsidP="00BE15F9">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25.760.000,00</w:t>
            </w:r>
          </w:p>
        </w:tc>
        <w:tc>
          <w:tcPr>
            <w:tcW w:w="1984" w:type="dxa"/>
            <w:tcBorders>
              <w:top w:val="single" w:sz="4" w:space="0" w:color="auto"/>
              <w:left w:val="single" w:sz="4" w:space="0" w:color="auto"/>
              <w:bottom w:val="single" w:sz="4" w:space="0" w:color="auto"/>
              <w:right w:val="single" w:sz="4" w:space="0" w:color="auto"/>
            </w:tcBorders>
            <w:shd w:val="clear" w:color="000000" w:fill="F0F0F0"/>
            <w:vAlign w:val="center"/>
          </w:tcPr>
          <w:p w14:paraId="7A905A2B" w14:textId="77777777" w:rsidR="00444987" w:rsidRPr="005767EF" w:rsidRDefault="00444987" w:rsidP="00BE15F9">
            <w:pPr>
              <w:jc w:val="right"/>
              <w:rPr>
                <w:rFonts w:asciiTheme="minorHAnsi" w:hAnsiTheme="minorHAnsi"/>
                <w:sz w:val="20"/>
                <w:szCs w:val="20"/>
                <w:lang w:val="sr-Cyrl-RS" w:eastAsia="sr-Latn-RS"/>
              </w:rPr>
            </w:pPr>
            <w:r w:rsidRPr="005767EF">
              <w:rPr>
                <w:rFonts w:asciiTheme="minorHAnsi" w:hAnsiTheme="minorHAnsi"/>
                <w:sz w:val="20"/>
                <w:szCs w:val="20"/>
                <w:lang w:eastAsia="sr-Latn-RS"/>
              </w:rPr>
              <w:t>5.470.260,00</w:t>
            </w:r>
          </w:p>
        </w:tc>
      </w:tr>
      <w:tr w:rsidR="00444987" w:rsidRPr="005767EF" w14:paraId="71C4DEDA" w14:textId="77777777" w:rsidTr="00BE15F9">
        <w:trPr>
          <w:trHeight w:val="285"/>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8BC9C89" w14:textId="77777777" w:rsidR="00444987" w:rsidRPr="005767EF" w:rsidRDefault="00444987" w:rsidP="00BE15F9">
            <w:pPr>
              <w:jc w:val="center"/>
              <w:rPr>
                <w:rFonts w:asciiTheme="minorHAnsi" w:hAnsiTheme="minorHAnsi"/>
                <w:b/>
                <w:sz w:val="20"/>
                <w:szCs w:val="20"/>
                <w:lang w:val="sr-Cyrl-BA" w:eastAsia="sr-Latn-RS"/>
              </w:rPr>
            </w:pPr>
            <w:r w:rsidRPr="005767EF">
              <w:rPr>
                <w:rFonts w:asciiTheme="minorHAnsi" w:hAnsiTheme="minorHAnsi"/>
                <w:b/>
                <w:sz w:val="20"/>
                <w:szCs w:val="20"/>
                <w:lang w:eastAsia="sr-Latn-RS"/>
              </w:rPr>
              <w:t>УКУПНО</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06CE133B" w14:textId="77777777" w:rsidR="00444987" w:rsidRPr="005767EF" w:rsidRDefault="00444987" w:rsidP="00BE15F9">
            <w:pPr>
              <w:jc w:val="center"/>
              <w:rPr>
                <w:rFonts w:asciiTheme="minorHAnsi" w:hAnsiTheme="minorHAnsi"/>
                <w:b/>
                <w:sz w:val="20"/>
                <w:szCs w:val="20"/>
                <w:lang w:val="sr-Cyrl-RS" w:eastAsia="sr-Latn-RS"/>
              </w:rPr>
            </w:pPr>
            <w:r w:rsidRPr="005767EF">
              <w:rPr>
                <w:rFonts w:asciiTheme="minorHAnsi" w:hAnsiTheme="minorHAnsi"/>
                <w:b/>
                <w:sz w:val="20"/>
                <w:szCs w:val="20"/>
                <w:lang w:eastAsia="sr-Latn-RS"/>
              </w:rPr>
              <w:t>257</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AC481A5" w14:textId="77777777" w:rsidR="00444987" w:rsidRPr="005767EF" w:rsidRDefault="00444987" w:rsidP="00BE15F9">
            <w:pPr>
              <w:jc w:val="right"/>
              <w:rPr>
                <w:rFonts w:asciiTheme="minorHAnsi" w:hAnsiTheme="minorHAnsi"/>
                <w:b/>
                <w:sz w:val="20"/>
                <w:szCs w:val="20"/>
                <w:lang w:val="sr-Latn-RS" w:eastAsia="sr-Latn-RS"/>
              </w:rPr>
            </w:pPr>
            <w:r w:rsidRPr="005767EF">
              <w:rPr>
                <w:rFonts w:asciiTheme="minorHAnsi" w:hAnsiTheme="minorHAnsi"/>
                <w:b/>
                <w:sz w:val="20"/>
                <w:szCs w:val="20"/>
                <w:lang w:eastAsia="sr-Latn-RS"/>
              </w:rPr>
              <w:t>184.221.356,31</w:t>
            </w:r>
          </w:p>
        </w:tc>
        <w:tc>
          <w:tcPr>
            <w:tcW w:w="19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FAE6E28" w14:textId="77777777" w:rsidR="00444987" w:rsidRPr="005767EF" w:rsidRDefault="00444987" w:rsidP="00BE15F9">
            <w:pPr>
              <w:jc w:val="right"/>
              <w:rPr>
                <w:rFonts w:asciiTheme="minorHAnsi" w:hAnsiTheme="minorHAnsi"/>
                <w:b/>
                <w:sz w:val="20"/>
                <w:szCs w:val="20"/>
                <w:lang w:val="sr-Latn-RS" w:eastAsia="sr-Latn-RS"/>
              </w:rPr>
            </w:pPr>
            <w:r w:rsidRPr="005767EF">
              <w:rPr>
                <w:rFonts w:asciiTheme="minorHAnsi" w:hAnsiTheme="minorHAnsi"/>
                <w:b/>
                <w:sz w:val="20"/>
                <w:szCs w:val="20"/>
                <w:lang w:eastAsia="sr-Latn-RS"/>
              </w:rPr>
              <w:t>65.030.956,44</w:t>
            </w:r>
          </w:p>
        </w:tc>
      </w:tr>
    </w:tbl>
    <w:p w14:paraId="28A647BC" w14:textId="77777777" w:rsidR="008E0518" w:rsidRDefault="008E0518" w:rsidP="00245931">
      <w:pPr>
        <w:pStyle w:val="Default"/>
        <w:jc w:val="both"/>
        <w:rPr>
          <w:rFonts w:asciiTheme="minorHAnsi" w:hAnsiTheme="minorHAnsi"/>
          <w:color w:val="auto"/>
          <w:sz w:val="20"/>
          <w:szCs w:val="20"/>
          <w:lang w:val="sr-Cyrl-BA"/>
        </w:rPr>
      </w:pPr>
    </w:p>
    <w:p w14:paraId="0E1AB890" w14:textId="77777777" w:rsidR="00254480" w:rsidRDefault="00245931" w:rsidP="00245931">
      <w:pPr>
        <w:pStyle w:val="Default"/>
        <w:jc w:val="both"/>
        <w:rPr>
          <w:rFonts w:asciiTheme="minorHAnsi" w:hAnsiTheme="minorHAnsi"/>
          <w:color w:val="auto"/>
          <w:sz w:val="20"/>
          <w:szCs w:val="20"/>
        </w:rPr>
      </w:pPr>
      <w:r w:rsidRPr="005767EF">
        <w:rPr>
          <w:rFonts w:asciiTheme="minorHAnsi" w:hAnsiTheme="minorHAnsi"/>
          <w:color w:val="auto"/>
          <w:sz w:val="20"/>
          <w:szCs w:val="20"/>
        </w:rPr>
        <w:t>Od početka rada Garantnog fonda u 2011. godini do kraja 2023. godine, ukupno je izdano 257 garancija u iznosu od 65.030.956,44 KM, čime je podržan plasman 184.221.356,31 KM kreditnih sredstava. Smanjenje broja pojedinačnih garancija u odnosu na prethodne 2 godine je rezultat sve većeg opredjeljenja finansijskih posrednika za izdavanje garancija u okviru kreditnog portfelja, koji zbog brojnih prednosti preuzima primat u odnosnu na pojedinačne garancije u okviru redovnih linija. Bez obzira na smanjenje broja garancija, Garantni fond je zadržao nivo podrške na visokom nivou, te je u 2023. godini uz garancije Fonda plasiran najveći iznos kreditnih sredstava još od 2014. godine.</w:t>
      </w:r>
    </w:p>
    <w:p w14:paraId="2E14028E" w14:textId="77777777" w:rsidR="00A60232" w:rsidRDefault="00A60232" w:rsidP="00245931">
      <w:pPr>
        <w:pStyle w:val="Default"/>
        <w:jc w:val="both"/>
        <w:rPr>
          <w:rFonts w:asciiTheme="minorHAnsi" w:hAnsiTheme="minorHAnsi"/>
          <w:color w:val="auto"/>
          <w:sz w:val="20"/>
          <w:szCs w:val="20"/>
          <w:lang w:val="sr-Cyrl-BA"/>
        </w:rPr>
      </w:pPr>
    </w:p>
    <w:tbl>
      <w:tblPr>
        <w:tblW w:w="8789" w:type="dxa"/>
        <w:tblInd w:w="108" w:type="dxa"/>
        <w:tblLayout w:type="fixed"/>
        <w:tblLook w:val="04A0" w:firstRow="1" w:lastRow="0" w:firstColumn="1" w:lastColumn="0" w:noHBand="0" w:noVBand="1"/>
      </w:tblPr>
      <w:tblGrid>
        <w:gridCol w:w="1276"/>
        <w:gridCol w:w="6662"/>
        <w:gridCol w:w="851"/>
      </w:tblGrid>
      <w:tr w:rsidR="008D3DAA" w:rsidRPr="005767EF" w14:paraId="6E2A303D" w14:textId="77777777" w:rsidTr="008C27E1">
        <w:trPr>
          <w:trHeight w:val="465"/>
        </w:trPr>
        <w:tc>
          <w:tcPr>
            <w:tcW w:w="1276" w:type="dxa"/>
            <w:tcBorders>
              <w:top w:val="nil"/>
              <w:left w:val="nil"/>
              <w:bottom w:val="nil"/>
              <w:right w:val="nil"/>
            </w:tcBorders>
            <w:shd w:val="clear" w:color="000000" w:fill="FFFFFF"/>
          </w:tcPr>
          <w:p w14:paraId="322727CF" w14:textId="77777777" w:rsidR="008D3DAA" w:rsidRPr="005767EF" w:rsidRDefault="008D3DAA" w:rsidP="00091285">
            <w:pPr>
              <w:rPr>
                <w:rFonts w:asciiTheme="minorHAnsi" w:hAnsiTheme="minorHAnsi"/>
                <w:b/>
                <w:bCs/>
                <w:color w:val="FF0000"/>
                <w:sz w:val="20"/>
                <w:szCs w:val="20"/>
                <w:lang w:val="sr-Cyrl-RS" w:eastAsia="sr-Latn-RS"/>
              </w:rPr>
            </w:pPr>
          </w:p>
        </w:tc>
        <w:tc>
          <w:tcPr>
            <w:tcW w:w="6662" w:type="dxa"/>
            <w:tcBorders>
              <w:top w:val="nil"/>
              <w:left w:val="nil"/>
              <w:bottom w:val="nil"/>
              <w:right w:val="nil"/>
            </w:tcBorders>
            <w:shd w:val="clear" w:color="000000" w:fill="FFFFFF"/>
            <w:vAlign w:val="center"/>
            <w:hideMark/>
          </w:tcPr>
          <w:p w14:paraId="232EEC38" w14:textId="77777777" w:rsidR="008D3DAA" w:rsidRPr="0055687E" w:rsidRDefault="008D3DAA" w:rsidP="00091285">
            <w:pPr>
              <w:jc w:val="center"/>
              <w:rPr>
                <w:rFonts w:asciiTheme="minorHAnsi" w:hAnsiTheme="minorHAnsi"/>
                <w:b/>
                <w:bCs/>
                <w:sz w:val="20"/>
                <w:szCs w:val="20"/>
                <w:lang w:val="sr-Cyrl-RS" w:eastAsia="sr-Latn-RS"/>
              </w:rPr>
            </w:pPr>
            <w:r w:rsidRPr="005767EF">
              <w:rPr>
                <w:rFonts w:asciiTheme="minorHAnsi" w:hAnsiTheme="minorHAnsi"/>
                <w:b/>
                <w:bCs/>
                <w:color w:val="000000" w:themeColor="text1"/>
                <w:sz w:val="20"/>
                <w:szCs w:val="20"/>
                <w:lang w:eastAsia="sr-Latn-RS"/>
              </w:rPr>
              <w:t>Pregled aktivnih garancija po finansijskim posrednicima na dan 31.12.2023. godine</w:t>
            </w:r>
          </w:p>
        </w:tc>
        <w:tc>
          <w:tcPr>
            <w:tcW w:w="851" w:type="dxa"/>
            <w:tcBorders>
              <w:top w:val="nil"/>
              <w:left w:val="nil"/>
              <w:bottom w:val="nil"/>
              <w:right w:val="nil"/>
            </w:tcBorders>
            <w:shd w:val="clear" w:color="000000" w:fill="FFFFFF"/>
          </w:tcPr>
          <w:p w14:paraId="5A28E6C6" w14:textId="77777777" w:rsidR="008D3DAA" w:rsidRPr="005767EF" w:rsidRDefault="008D3DAA" w:rsidP="00091285">
            <w:pPr>
              <w:rPr>
                <w:rFonts w:asciiTheme="minorHAnsi" w:hAnsiTheme="minorHAnsi"/>
                <w:b/>
                <w:bCs/>
                <w:color w:val="FF0000"/>
                <w:sz w:val="20"/>
                <w:szCs w:val="20"/>
                <w:lang w:val="sr-Cyrl-RS" w:eastAsia="sr-Latn-RS"/>
              </w:rPr>
            </w:pPr>
          </w:p>
        </w:tc>
      </w:tr>
      <w:tr w:rsidR="008C27E1" w:rsidRPr="005767EF" w14:paraId="491D533D" w14:textId="77777777" w:rsidTr="008C27E1">
        <w:trPr>
          <w:trHeight w:val="513"/>
        </w:trPr>
        <w:tc>
          <w:tcPr>
            <w:tcW w:w="8789" w:type="dxa"/>
            <w:gridSpan w:val="3"/>
            <w:tcBorders>
              <w:top w:val="nil"/>
              <w:left w:val="nil"/>
              <w:bottom w:val="nil"/>
              <w:right w:val="nil"/>
            </w:tcBorders>
            <w:shd w:val="clear" w:color="000000" w:fill="FFFFFF"/>
          </w:tcPr>
          <w:p w14:paraId="63898D18" w14:textId="77777777" w:rsidR="008C27E1" w:rsidRDefault="008C27E1" w:rsidP="00091285">
            <w:pPr>
              <w:rPr>
                <w:rFonts w:asciiTheme="minorHAnsi" w:hAnsiTheme="minorHAnsi"/>
                <w:b/>
                <w:sz w:val="20"/>
                <w:szCs w:val="20"/>
                <w:lang w:val="sr-Cyrl-BA" w:eastAsia="sr-Latn-RS"/>
              </w:rPr>
            </w:pPr>
          </w:p>
          <w:p w14:paraId="2EF6B227" w14:textId="77777777" w:rsidR="008C27E1" w:rsidRPr="005767EF" w:rsidRDefault="008C27E1" w:rsidP="008C27E1">
            <w:pPr>
              <w:jc w:val="right"/>
              <w:rPr>
                <w:rFonts w:asciiTheme="minorHAnsi" w:hAnsiTheme="minorHAnsi"/>
                <w:b/>
                <w:sz w:val="20"/>
                <w:szCs w:val="20"/>
                <w:lang w:val="sr-Cyrl-BA" w:eastAsia="sr-Latn-RS"/>
              </w:rPr>
            </w:pPr>
            <w:r>
              <w:rPr>
                <w:rFonts w:asciiTheme="minorHAnsi" w:hAnsiTheme="minorHAnsi"/>
                <w:b/>
                <w:sz w:val="20"/>
                <w:szCs w:val="20"/>
                <w:lang w:eastAsia="sr-Latn-RS"/>
              </w:rPr>
              <w:t xml:space="preserve">      Tabela 8</w:t>
            </w:r>
          </w:p>
        </w:tc>
      </w:tr>
    </w:tbl>
    <w:tbl>
      <w:tblPr>
        <w:tblStyle w:val="TableGrid"/>
        <w:tblW w:w="8804" w:type="dxa"/>
        <w:tblInd w:w="93" w:type="dxa"/>
        <w:tblLayout w:type="fixed"/>
        <w:tblLook w:val="04A0" w:firstRow="1" w:lastRow="0" w:firstColumn="1" w:lastColumn="0" w:noHBand="0" w:noVBand="1"/>
      </w:tblPr>
      <w:tblGrid>
        <w:gridCol w:w="2567"/>
        <w:gridCol w:w="992"/>
        <w:gridCol w:w="1559"/>
        <w:gridCol w:w="1276"/>
        <w:gridCol w:w="1276"/>
        <w:gridCol w:w="1134"/>
      </w:tblGrid>
      <w:tr w:rsidR="008C27E1" w:rsidRPr="008C27E1" w14:paraId="5436FE2E" w14:textId="77777777" w:rsidTr="008C27E1">
        <w:trPr>
          <w:trHeight w:val="854"/>
        </w:trPr>
        <w:tc>
          <w:tcPr>
            <w:tcW w:w="2567" w:type="dxa"/>
            <w:shd w:val="clear" w:color="auto" w:fill="8DB3E2" w:themeFill="text2" w:themeFillTint="66"/>
            <w:vAlign w:val="center"/>
            <w:hideMark/>
          </w:tcPr>
          <w:p w14:paraId="050F3989"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eastAsia="en-US"/>
              </w:rPr>
              <w:t>Finansijski posrednik</w:t>
            </w:r>
          </w:p>
        </w:tc>
        <w:tc>
          <w:tcPr>
            <w:tcW w:w="992" w:type="dxa"/>
            <w:shd w:val="clear" w:color="auto" w:fill="8DB3E2" w:themeFill="text2" w:themeFillTint="66"/>
            <w:vAlign w:val="center"/>
            <w:hideMark/>
          </w:tcPr>
          <w:p w14:paraId="341EDF3D" w14:textId="77777777" w:rsidR="008C27E1" w:rsidRPr="00A944C8" w:rsidRDefault="008C27E1" w:rsidP="008C27E1">
            <w:pPr>
              <w:autoSpaceDE w:val="0"/>
              <w:autoSpaceDN w:val="0"/>
              <w:adjustRightInd w:val="0"/>
              <w:ind w:right="-108"/>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eastAsia="en-US"/>
              </w:rPr>
              <w:t>Broj garancija</w:t>
            </w:r>
          </w:p>
        </w:tc>
        <w:tc>
          <w:tcPr>
            <w:tcW w:w="1559" w:type="dxa"/>
            <w:shd w:val="clear" w:color="auto" w:fill="8DB3E2" w:themeFill="text2" w:themeFillTint="66"/>
            <w:vAlign w:val="center"/>
            <w:hideMark/>
          </w:tcPr>
          <w:p w14:paraId="1F66EFEB"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eastAsia="en-US"/>
              </w:rPr>
              <w:t>Nominalni iznos garancije</w:t>
            </w:r>
          </w:p>
        </w:tc>
        <w:tc>
          <w:tcPr>
            <w:tcW w:w="1276" w:type="dxa"/>
            <w:shd w:val="clear" w:color="auto" w:fill="8DB3E2" w:themeFill="text2" w:themeFillTint="66"/>
            <w:vAlign w:val="center"/>
            <w:hideMark/>
          </w:tcPr>
          <w:p w14:paraId="4B0ECC28"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eastAsia="en-US"/>
              </w:rPr>
              <w:t>Preostali iznos garancije</w:t>
            </w:r>
          </w:p>
        </w:tc>
        <w:tc>
          <w:tcPr>
            <w:tcW w:w="1276" w:type="dxa"/>
            <w:shd w:val="clear" w:color="auto" w:fill="8DB3E2" w:themeFill="text2" w:themeFillTint="66"/>
            <w:vAlign w:val="center"/>
            <w:hideMark/>
          </w:tcPr>
          <w:p w14:paraId="11BB06CE"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p>
          <w:p w14:paraId="4F00D25E" w14:textId="7AEF18E1" w:rsidR="008C27E1" w:rsidRPr="00A944C8" w:rsidRDefault="00627A7C" w:rsidP="008C27E1">
            <w:pPr>
              <w:autoSpaceDE w:val="0"/>
              <w:autoSpaceDN w:val="0"/>
              <w:adjustRightInd w:val="0"/>
              <w:jc w:val="center"/>
              <w:rPr>
                <w:rFonts w:asciiTheme="minorHAnsi" w:eastAsiaTheme="minorHAnsi" w:hAnsiTheme="minorHAnsi"/>
                <w:b/>
                <w:bCs/>
                <w:color w:val="auto"/>
                <w:sz w:val="18"/>
                <w:szCs w:val="18"/>
                <w:lang w:eastAsia="en-US"/>
              </w:rPr>
            </w:pPr>
            <w:r>
              <w:rPr>
                <w:rFonts w:asciiTheme="minorHAnsi" w:eastAsiaTheme="minorHAnsi" w:hAnsiTheme="minorHAnsi"/>
                <w:b/>
                <w:bCs/>
                <w:color w:val="auto"/>
                <w:sz w:val="18"/>
                <w:szCs w:val="18"/>
                <w:lang w:eastAsia="en-US"/>
              </w:rPr>
              <w:t>Učešće</w:t>
            </w:r>
          </w:p>
          <w:p w14:paraId="6D934F90" w14:textId="77777777" w:rsidR="008C27E1" w:rsidRPr="00A944C8" w:rsidRDefault="008C27E1" w:rsidP="008C27E1">
            <w:pPr>
              <w:autoSpaceDE w:val="0"/>
              <w:autoSpaceDN w:val="0"/>
              <w:adjustRightInd w:val="0"/>
              <w:jc w:val="center"/>
              <w:rPr>
                <w:rFonts w:asciiTheme="minorHAnsi" w:eastAsiaTheme="minorHAnsi" w:hAnsiTheme="minorHAnsi"/>
                <w:b/>
                <w:bCs/>
                <w:color w:val="auto"/>
                <w:sz w:val="18"/>
                <w:szCs w:val="18"/>
                <w:lang w:eastAsia="en-US"/>
              </w:rPr>
            </w:pPr>
          </w:p>
        </w:tc>
        <w:tc>
          <w:tcPr>
            <w:tcW w:w="1134" w:type="dxa"/>
            <w:shd w:val="clear" w:color="auto" w:fill="8DB3E2" w:themeFill="text2" w:themeFillTint="66"/>
            <w:vAlign w:val="center"/>
            <w:hideMark/>
          </w:tcPr>
          <w:p w14:paraId="47604B56" w14:textId="6E641D3B" w:rsidR="008C27E1" w:rsidRPr="00A944C8" w:rsidRDefault="008C27E1" w:rsidP="008C27E1">
            <w:pPr>
              <w:autoSpaceDE w:val="0"/>
              <w:autoSpaceDN w:val="0"/>
              <w:adjustRightInd w:val="0"/>
              <w:ind w:left="-108" w:right="-108"/>
              <w:jc w:val="center"/>
              <w:rPr>
                <w:rFonts w:asciiTheme="minorHAnsi" w:eastAsiaTheme="minorHAnsi" w:hAnsiTheme="minorHAnsi"/>
                <w:b/>
                <w:bCs/>
                <w:color w:val="auto"/>
                <w:sz w:val="18"/>
                <w:szCs w:val="18"/>
                <w:lang w:eastAsia="en-US"/>
              </w:rPr>
            </w:pPr>
            <w:r w:rsidRPr="00A944C8">
              <w:rPr>
                <w:rFonts w:asciiTheme="minorHAnsi" w:eastAsiaTheme="minorHAnsi" w:hAnsiTheme="minorHAnsi"/>
                <w:b/>
                <w:bCs/>
                <w:color w:val="auto"/>
                <w:sz w:val="18"/>
                <w:szCs w:val="18"/>
                <w:lang w:eastAsia="en-US"/>
              </w:rPr>
              <w:t>Iz</w:t>
            </w:r>
            <w:r w:rsidR="00627A7C">
              <w:rPr>
                <w:rFonts w:asciiTheme="minorHAnsi" w:eastAsiaTheme="minorHAnsi" w:hAnsiTheme="minorHAnsi"/>
                <w:b/>
                <w:bCs/>
                <w:color w:val="auto"/>
                <w:sz w:val="18"/>
                <w:szCs w:val="18"/>
                <w:lang w:eastAsia="en-US"/>
              </w:rPr>
              <w:t>loženost</w:t>
            </w:r>
          </w:p>
        </w:tc>
      </w:tr>
      <w:tr w:rsidR="008E0518" w:rsidRPr="008C27E1" w14:paraId="57743FF9" w14:textId="77777777" w:rsidTr="008E0518">
        <w:trPr>
          <w:trHeight w:val="330"/>
        </w:trPr>
        <w:tc>
          <w:tcPr>
            <w:tcW w:w="2567" w:type="dxa"/>
            <w:vAlign w:val="center"/>
            <w:hideMark/>
          </w:tcPr>
          <w:p w14:paraId="5CC1FFAE"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 xml:space="preserve">MF Banka a.d. Banja Luka  </w:t>
            </w:r>
          </w:p>
        </w:tc>
        <w:tc>
          <w:tcPr>
            <w:tcW w:w="992" w:type="dxa"/>
            <w:vAlign w:val="center"/>
            <w:hideMark/>
          </w:tcPr>
          <w:p w14:paraId="197A8F4E"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40</w:t>
            </w:r>
          </w:p>
        </w:tc>
        <w:tc>
          <w:tcPr>
            <w:tcW w:w="1559" w:type="dxa"/>
            <w:vAlign w:val="center"/>
            <w:hideMark/>
          </w:tcPr>
          <w:p w14:paraId="0DD855B1"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9.466.078,44</w:t>
            </w:r>
          </w:p>
        </w:tc>
        <w:tc>
          <w:tcPr>
            <w:tcW w:w="1276" w:type="dxa"/>
            <w:vAlign w:val="center"/>
            <w:hideMark/>
          </w:tcPr>
          <w:p w14:paraId="3F5C1D2D"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7.399.343,66</w:t>
            </w:r>
          </w:p>
        </w:tc>
        <w:tc>
          <w:tcPr>
            <w:tcW w:w="1276" w:type="dxa"/>
            <w:vAlign w:val="center"/>
            <w:hideMark/>
          </w:tcPr>
          <w:p w14:paraId="4BD811D3"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38,11%</w:t>
            </w:r>
          </w:p>
        </w:tc>
        <w:tc>
          <w:tcPr>
            <w:tcW w:w="1134" w:type="dxa"/>
            <w:vAlign w:val="center"/>
            <w:hideMark/>
          </w:tcPr>
          <w:p w14:paraId="3B30BA9F" w14:textId="77777777" w:rsidR="008E0518" w:rsidRPr="008E0518" w:rsidRDefault="008E0518">
            <w:pPr>
              <w:jc w:val="center"/>
              <w:rPr>
                <w:rFonts w:ascii="Calibri" w:hAnsi="Calibri"/>
                <w:sz w:val="18"/>
                <w:szCs w:val="18"/>
              </w:rPr>
            </w:pPr>
            <w:r w:rsidRPr="008E0518">
              <w:rPr>
                <w:rFonts w:ascii="Calibri" w:hAnsi="Calibri"/>
                <w:sz w:val="18"/>
                <w:szCs w:val="18"/>
              </w:rPr>
              <w:t>27,40%</w:t>
            </w:r>
          </w:p>
        </w:tc>
      </w:tr>
      <w:tr w:rsidR="008E0518" w:rsidRPr="008C27E1" w14:paraId="57B49BEE" w14:textId="77777777" w:rsidTr="008E0518">
        <w:trPr>
          <w:trHeight w:val="780"/>
        </w:trPr>
        <w:tc>
          <w:tcPr>
            <w:tcW w:w="2567" w:type="dxa"/>
            <w:vAlign w:val="center"/>
            <w:hideMark/>
          </w:tcPr>
          <w:p w14:paraId="21C727F9"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Fond za razvoj i zapošljavanje RS a.d. Banja Luka</w:t>
            </w:r>
          </w:p>
        </w:tc>
        <w:tc>
          <w:tcPr>
            <w:tcW w:w="992" w:type="dxa"/>
            <w:vAlign w:val="center"/>
            <w:hideMark/>
          </w:tcPr>
          <w:p w14:paraId="7055403D"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10</w:t>
            </w:r>
          </w:p>
        </w:tc>
        <w:tc>
          <w:tcPr>
            <w:tcW w:w="1559" w:type="dxa"/>
            <w:vAlign w:val="center"/>
            <w:hideMark/>
          </w:tcPr>
          <w:p w14:paraId="118E5AA0"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8.146.441,56</w:t>
            </w:r>
          </w:p>
        </w:tc>
        <w:tc>
          <w:tcPr>
            <w:tcW w:w="1276" w:type="dxa"/>
            <w:vAlign w:val="center"/>
            <w:hideMark/>
          </w:tcPr>
          <w:p w14:paraId="1D376659"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4.565.612,75</w:t>
            </w:r>
          </w:p>
        </w:tc>
        <w:tc>
          <w:tcPr>
            <w:tcW w:w="1276" w:type="dxa"/>
            <w:vAlign w:val="center"/>
            <w:hideMark/>
          </w:tcPr>
          <w:p w14:paraId="715E1CFA"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23,52%</w:t>
            </w:r>
          </w:p>
        </w:tc>
        <w:tc>
          <w:tcPr>
            <w:tcW w:w="1134" w:type="dxa"/>
            <w:vAlign w:val="center"/>
            <w:hideMark/>
          </w:tcPr>
          <w:p w14:paraId="428A88F3" w14:textId="77777777" w:rsidR="008E0518" w:rsidRPr="008E0518" w:rsidRDefault="008E0518">
            <w:pPr>
              <w:jc w:val="center"/>
              <w:rPr>
                <w:rFonts w:ascii="Calibri" w:hAnsi="Calibri"/>
                <w:sz w:val="18"/>
                <w:szCs w:val="18"/>
              </w:rPr>
            </w:pPr>
            <w:r w:rsidRPr="008E0518">
              <w:rPr>
                <w:rFonts w:ascii="Calibri" w:hAnsi="Calibri"/>
                <w:sz w:val="18"/>
                <w:szCs w:val="18"/>
              </w:rPr>
              <w:t>16,91%</w:t>
            </w:r>
          </w:p>
        </w:tc>
      </w:tr>
      <w:tr w:rsidR="008E0518" w:rsidRPr="008C27E1" w14:paraId="54A5A67A" w14:textId="77777777" w:rsidTr="008E0518">
        <w:trPr>
          <w:trHeight w:val="330"/>
        </w:trPr>
        <w:tc>
          <w:tcPr>
            <w:tcW w:w="2567" w:type="dxa"/>
            <w:vAlign w:val="center"/>
            <w:hideMark/>
          </w:tcPr>
          <w:p w14:paraId="46CEE881"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Nova banka a.d. Banja Luka</w:t>
            </w:r>
          </w:p>
        </w:tc>
        <w:tc>
          <w:tcPr>
            <w:tcW w:w="992" w:type="dxa"/>
            <w:vAlign w:val="center"/>
            <w:hideMark/>
          </w:tcPr>
          <w:p w14:paraId="0ABA7E0D"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16</w:t>
            </w:r>
          </w:p>
        </w:tc>
        <w:tc>
          <w:tcPr>
            <w:tcW w:w="1559" w:type="dxa"/>
            <w:vAlign w:val="center"/>
            <w:hideMark/>
          </w:tcPr>
          <w:p w14:paraId="2F825C64"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4.562.490,00</w:t>
            </w:r>
          </w:p>
        </w:tc>
        <w:tc>
          <w:tcPr>
            <w:tcW w:w="1276" w:type="dxa"/>
            <w:vAlign w:val="center"/>
            <w:hideMark/>
          </w:tcPr>
          <w:p w14:paraId="371F2D7D"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3.145.029,40</w:t>
            </w:r>
          </w:p>
        </w:tc>
        <w:tc>
          <w:tcPr>
            <w:tcW w:w="1276" w:type="dxa"/>
            <w:vAlign w:val="center"/>
            <w:hideMark/>
          </w:tcPr>
          <w:p w14:paraId="4220E0FD"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16,20%</w:t>
            </w:r>
          </w:p>
        </w:tc>
        <w:tc>
          <w:tcPr>
            <w:tcW w:w="1134" w:type="dxa"/>
            <w:vAlign w:val="center"/>
            <w:hideMark/>
          </w:tcPr>
          <w:p w14:paraId="026415D1" w14:textId="77777777" w:rsidR="008E0518" w:rsidRPr="008E0518" w:rsidRDefault="008E0518">
            <w:pPr>
              <w:jc w:val="center"/>
              <w:rPr>
                <w:rFonts w:ascii="Calibri" w:hAnsi="Calibri"/>
                <w:sz w:val="18"/>
                <w:szCs w:val="18"/>
              </w:rPr>
            </w:pPr>
            <w:r w:rsidRPr="008E0518">
              <w:rPr>
                <w:rFonts w:ascii="Calibri" w:hAnsi="Calibri"/>
                <w:sz w:val="18"/>
                <w:szCs w:val="18"/>
              </w:rPr>
              <w:t>11,65%</w:t>
            </w:r>
          </w:p>
        </w:tc>
      </w:tr>
      <w:tr w:rsidR="008E0518" w:rsidRPr="008C27E1" w14:paraId="40B35D6D" w14:textId="77777777" w:rsidTr="008E0518">
        <w:trPr>
          <w:trHeight w:val="330"/>
        </w:trPr>
        <w:tc>
          <w:tcPr>
            <w:tcW w:w="2567" w:type="dxa"/>
            <w:vAlign w:val="center"/>
            <w:hideMark/>
          </w:tcPr>
          <w:p w14:paraId="71F06EF6"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 xml:space="preserve">Procredit bank d.d. Sarajevo  </w:t>
            </w:r>
          </w:p>
        </w:tc>
        <w:tc>
          <w:tcPr>
            <w:tcW w:w="992" w:type="dxa"/>
            <w:vAlign w:val="center"/>
            <w:hideMark/>
          </w:tcPr>
          <w:p w14:paraId="2FDDBFA4"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5</w:t>
            </w:r>
          </w:p>
        </w:tc>
        <w:tc>
          <w:tcPr>
            <w:tcW w:w="1559" w:type="dxa"/>
            <w:vAlign w:val="center"/>
            <w:hideMark/>
          </w:tcPr>
          <w:p w14:paraId="690DBC2F"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2.594.288,72</w:t>
            </w:r>
          </w:p>
        </w:tc>
        <w:tc>
          <w:tcPr>
            <w:tcW w:w="1276" w:type="dxa"/>
            <w:vAlign w:val="center"/>
            <w:hideMark/>
          </w:tcPr>
          <w:p w14:paraId="4EF94D76"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2.409.208,33</w:t>
            </w:r>
          </w:p>
        </w:tc>
        <w:tc>
          <w:tcPr>
            <w:tcW w:w="1276" w:type="dxa"/>
            <w:vAlign w:val="center"/>
            <w:hideMark/>
          </w:tcPr>
          <w:p w14:paraId="4D1D8168"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12,41%</w:t>
            </w:r>
          </w:p>
        </w:tc>
        <w:tc>
          <w:tcPr>
            <w:tcW w:w="1134" w:type="dxa"/>
            <w:vAlign w:val="center"/>
            <w:hideMark/>
          </w:tcPr>
          <w:p w14:paraId="7FFA4EF1" w14:textId="77777777" w:rsidR="008E0518" w:rsidRPr="008E0518" w:rsidRDefault="008E0518">
            <w:pPr>
              <w:jc w:val="center"/>
              <w:rPr>
                <w:rFonts w:ascii="Calibri" w:hAnsi="Calibri"/>
                <w:sz w:val="18"/>
                <w:szCs w:val="18"/>
              </w:rPr>
            </w:pPr>
            <w:r w:rsidRPr="008E0518">
              <w:rPr>
                <w:rFonts w:ascii="Calibri" w:hAnsi="Calibri"/>
                <w:sz w:val="18"/>
                <w:szCs w:val="18"/>
              </w:rPr>
              <w:t>8,92%</w:t>
            </w:r>
          </w:p>
        </w:tc>
      </w:tr>
      <w:tr w:rsidR="008E0518" w:rsidRPr="008C27E1" w14:paraId="6DB6B04E" w14:textId="77777777" w:rsidTr="008E0518">
        <w:trPr>
          <w:trHeight w:val="330"/>
        </w:trPr>
        <w:tc>
          <w:tcPr>
            <w:tcW w:w="2567" w:type="dxa"/>
            <w:vAlign w:val="center"/>
            <w:hideMark/>
          </w:tcPr>
          <w:p w14:paraId="3C13EB66"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 xml:space="preserve">BPŠ banka a.d. Banja Luka  </w:t>
            </w:r>
          </w:p>
        </w:tc>
        <w:tc>
          <w:tcPr>
            <w:tcW w:w="992" w:type="dxa"/>
            <w:vAlign w:val="center"/>
            <w:hideMark/>
          </w:tcPr>
          <w:p w14:paraId="633A88DC"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9</w:t>
            </w:r>
          </w:p>
        </w:tc>
        <w:tc>
          <w:tcPr>
            <w:tcW w:w="1559" w:type="dxa"/>
            <w:vAlign w:val="center"/>
            <w:hideMark/>
          </w:tcPr>
          <w:p w14:paraId="57A153D6"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1.215.000,00</w:t>
            </w:r>
          </w:p>
        </w:tc>
        <w:tc>
          <w:tcPr>
            <w:tcW w:w="1276" w:type="dxa"/>
            <w:vAlign w:val="center"/>
            <w:hideMark/>
          </w:tcPr>
          <w:p w14:paraId="631A1281"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732.607,30</w:t>
            </w:r>
          </w:p>
        </w:tc>
        <w:tc>
          <w:tcPr>
            <w:tcW w:w="1276" w:type="dxa"/>
            <w:vAlign w:val="center"/>
            <w:hideMark/>
          </w:tcPr>
          <w:p w14:paraId="7A44CFED"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3,77%</w:t>
            </w:r>
          </w:p>
        </w:tc>
        <w:tc>
          <w:tcPr>
            <w:tcW w:w="1134" w:type="dxa"/>
            <w:vAlign w:val="center"/>
            <w:hideMark/>
          </w:tcPr>
          <w:p w14:paraId="3CE9BAF9" w14:textId="77777777" w:rsidR="008E0518" w:rsidRPr="008E0518" w:rsidRDefault="008E0518">
            <w:pPr>
              <w:jc w:val="center"/>
              <w:rPr>
                <w:rFonts w:ascii="Calibri" w:hAnsi="Calibri"/>
                <w:sz w:val="18"/>
                <w:szCs w:val="18"/>
              </w:rPr>
            </w:pPr>
            <w:r w:rsidRPr="008E0518">
              <w:rPr>
                <w:rFonts w:ascii="Calibri" w:hAnsi="Calibri"/>
                <w:sz w:val="18"/>
                <w:szCs w:val="18"/>
              </w:rPr>
              <w:t>2,71%</w:t>
            </w:r>
          </w:p>
        </w:tc>
      </w:tr>
      <w:tr w:rsidR="008E0518" w:rsidRPr="008C27E1" w14:paraId="2BE8900E" w14:textId="77777777" w:rsidTr="008E0518">
        <w:trPr>
          <w:trHeight w:val="330"/>
        </w:trPr>
        <w:tc>
          <w:tcPr>
            <w:tcW w:w="2567" w:type="dxa"/>
            <w:vAlign w:val="center"/>
            <w:hideMark/>
          </w:tcPr>
          <w:p w14:paraId="149695FA"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 xml:space="preserve">Unicredit bank a.d. Banja Luka  </w:t>
            </w:r>
          </w:p>
        </w:tc>
        <w:tc>
          <w:tcPr>
            <w:tcW w:w="992" w:type="dxa"/>
            <w:vAlign w:val="center"/>
            <w:hideMark/>
          </w:tcPr>
          <w:p w14:paraId="70045230"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w:t>
            </w:r>
          </w:p>
        </w:tc>
        <w:tc>
          <w:tcPr>
            <w:tcW w:w="1559" w:type="dxa"/>
            <w:vAlign w:val="center"/>
            <w:hideMark/>
          </w:tcPr>
          <w:p w14:paraId="70D1E861"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694.572,32</w:t>
            </w:r>
          </w:p>
        </w:tc>
        <w:tc>
          <w:tcPr>
            <w:tcW w:w="1276" w:type="dxa"/>
            <w:vAlign w:val="center"/>
            <w:hideMark/>
          </w:tcPr>
          <w:p w14:paraId="3FCCD5A3" w14:textId="77777777" w:rsidR="008E0518" w:rsidRPr="00A944C8" w:rsidRDefault="008E0518" w:rsidP="008C27E1">
            <w:pPr>
              <w:autoSpaceDE w:val="0"/>
              <w:autoSpaceDN w:val="0"/>
              <w:adjustRightInd w:val="0"/>
              <w:ind w:right="-108"/>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453.728,21</w:t>
            </w:r>
          </w:p>
        </w:tc>
        <w:tc>
          <w:tcPr>
            <w:tcW w:w="1276" w:type="dxa"/>
            <w:vAlign w:val="center"/>
            <w:hideMark/>
          </w:tcPr>
          <w:p w14:paraId="302CA68E"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2,34%</w:t>
            </w:r>
          </w:p>
        </w:tc>
        <w:tc>
          <w:tcPr>
            <w:tcW w:w="1134" w:type="dxa"/>
            <w:vAlign w:val="center"/>
            <w:hideMark/>
          </w:tcPr>
          <w:p w14:paraId="3BFE7558" w14:textId="77777777" w:rsidR="008E0518" w:rsidRPr="008E0518" w:rsidRDefault="008E0518">
            <w:pPr>
              <w:jc w:val="center"/>
              <w:rPr>
                <w:rFonts w:ascii="Calibri" w:hAnsi="Calibri"/>
                <w:sz w:val="18"/>
                <w:szCs w:val="18"/>
              </w:rPr>
            </w:pPr>
            <w:r w:rsidRPr="008E0518">
              <w:rPr>
                <w:rFonts w:ascii="Calibri" w:hAnsi="Calibri"/>
                <w:sz w:val="18"/>
                <w:szCs w:val="18"/>
              </w:rPr>
              <w:t>1,68%</w:t>
            </w:r>
          </w:p>
        </w:tc>
      </w:tr>
      <w:tr w:rsidR="008E0518" w:rsidRPr="008C27E1" w14:paraId="4BA2D102" w14:textId="77777777" w:rsidTr="008E0518">
        <w:trPr>
          <w:trHeight w:val="330"/>
        </w:trPr>
        <w:tc>
          <w:tcPr>
            <w:tcW w:w="2567" w:type="dxa"/>
            <w:vAlign w:val="center"/>
            <w:hideMark/>
          </w:tcPr>
          <w:p w14:paraId="13EB2FD2"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 xml:space="preserve">Atos Banka a.d. Banja Luka  </w:t>
            </w:r>
          </w:p>
        </w:tc>
        <w:tc>
          <w:tcPr>
            <w:tcW w:w="992" w:type="dxa"/>
            <w:vAlign w:val="center"/>
            <w:hideMark/>
          </w:tcPr>
          <w:p w14:paraId="409650BF"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4</w:t>
            </w:r>
          </w:p>
        </w:tc>
        <w:tc>
          <w:tcPr>
            <w:tcW w:w="1559" w:type="dxa"/>
            <w:vAlign w:val="center"/>
            <w:hideMark/>
          </w:tcPr>
          <w:p w14:paraId="61A497D6"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920.000,00</w:t>
            </w:r>
          </w:p>
        </w:tc>
        <w:tc>
          <w:tcPr>
            <w:tcW w:w="1276" w:type="dxa"/>
            <w:vAlign w:val="center"/>
            <w:hideMark/>
          </w:tcPr>
          <w:p w14:paraId="0261CE87"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426.930,74</w:t>
            </w:r>
          </w:p>
        </w:tc>
        <w:tc>
          <w:tcPr>
            <w:tcW w:w="1276" w:type="dxa"/>
            <w:vAlign w:val="center"/>
            <w:hideMark/>
          </w:tcPr>
          <w:p w14:paraId="7D3CC617"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2,20%</w:t>
            </w:r>
          </w:p>
        </w:tc>
        <w:tc>
          <w:tcPr>
            <w:tcW w:w="1134" w:type="dxa"/>
            <w:vAlign w:val="center"/>
            <w:hideMark/>
          </w:tcPr>
          <w:p w14:paraId="1F885147" w14:textId="77777777" w:rsidR="008E0518" w:rsidRPr="008E0518" w:rsidRDefault="008E0518">
            <w:pPr>
              <w:jc w:val="center"/>
              <w:rPr>
                <w:rFonts w:ascii="Calibri" w:hAnsi="Calibri"/>
                <w:sz w:val="18"/>
                <w:szCs w:val="18"/>
              </w:rPr>
            </w:pPr>
            <w:r w:rsidRPr="008E0518">
              <w:rPr>
                <w:rFonts w:ascii="Calibri" w:hAnsi="Calibri"/>
                <w:sz w:val="18"/>
                <w:szCs w:val="18"/>
              </w:rPr>
              <w:t>1,58%</w:t>
            </w:r>
          </w:p>
        </w:tc>
      </w:tr>
      <w:tr w:rsidR="008E0518" w:rsidRPr="008C27E1" w14:paraId="50C46711" w14:textId="77777777" w:rsidTr="008E0518">
        <w:trPr>
          <w:trHeight w:val="330"/>
        </w:trPr>
        <w:tc>
          <w:tcPr>
            <w:tcW w:w="2567" w:type="dxa"/>
            <w:vAlign w:val="center"/>
            <w:hideMark/>
          </w:tcPr>
          <w:p w14:paraId="403906C1"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 xml:space="preserve">Ziraat bank d.d. Sarajevo  </w:t>
            </w:r>
          </w:p>
        </w:tc>
        <w:tc>
          <w:tcPr>
            <w:tcW w:w="992" w:type="dxa"/>
            <w:vAlign w:val="center"/>
            <w:hideMark/>
          </w:tcPr>
          <w:p w14:paraId="66C4E976"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w:t>
            </w:r>
          </w:p>
        </w:tc>
        <w:tc>
          <w:tcPr>
            <w:tcW w:w="1559" w:type="dxa"/>
            <w:vAlign w:val="center"/>
            <w:hideMark/>
          </w:tcPr>
          <w:p w14:paraId="2B3D3B6B"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165.000,00</w:t>
            </w:r>
          </w:p>
        </w:tc>
        <w:tc>
          <w:tcPr>
            <w:tcW w:w="1276" w:type="dxa"/>
            <w:vAlign w:val="center"/>
            <w:hideMark/>
          </w:tcPr>
          <w:p w14:paraId="671D52C2"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91.660,40</w:t>
            </w:r>
          </w:p>
        </w:tc>
        <w:tc>
          <w:tcPr>
            <w:tcW w:w="1276" w:type="dxa"/>
            <w:vAlign w:val="center"/>
            <w:hideMark/>
          </w:tcPr>
          <w:p w14:paraId="6AFCC2FA"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0,47%</w:t>
            </w:r>
          </w:p>
        </w:tc>
        <w:tc>
          <w:tcPr>
            <w:tcW w:w="1134" w:type="dxa"/>
            <w:vAlign w:val="center"/>
            <w:hideMark/>
          </w:tcPr>
          <w:p w14:paraId="7DD0DD3D" w14:textId="77777777" w:rsidR="008E0518" w:rsidRPr="008E0518" w:rsidRDefault="008E0518">
            <w:pPr>
              <w:jc w:val="center"/>
              <w:rPr>
                <w:rFonts w:ascii="Calibri" w:hAnsi="Calibri"/>
                <w:sz w:val="18"/>
                <w:szCs w:val="18"/>
              </w:rPr>
            </w:pPr>
            <w:r w:rsidRPr="008E0518">
              <w:rPr>
                <w:rFonts w:ascii="Calibri" w:hAnsi="Calibri"/>
                <w:sz w:val="18"/>
                <w:szCs w:val="18"/>
              </w:rPr>
              <w:t>0,34%</w:t>
            </w:r>
          </w:p>
        </w:tc>
      </w:tr>
      <w:tr w:rsidR="008E0518" w:rsidRPr="008C27E1" w14:paraId="0889375B" w14:textId="77777777" w:rsidTr="008E0518">
        <w:trPr>
          <w:trHeight w:val="525"/>
        </w:trPr>
        <w:tc>
          <w:tcPr>
            <w:tcW w:w="2567" w:type="dxa"/>
            <w:vAlign w:val="center"/>
            <w:hideMark/>
          </w:tcPr>
          <w:p w14:paraId="19B2E566"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Banka Srpske u stečaju a.d. Banja Luka</w:t>
            </w:r>
          </w:p>
        </w:tc>
        <w:tc>
          <w:tcPr>
            <w:tcW w:w="992" w:type="dxa"/>
            <w:vAlign w:val="center"/>
            <w:hideMark/>
          </w:tcPr>
          <w:p w14:paraId="7F1734F2"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2</w:t>
            </w:r>
          </w:p>
        </w:tc>
        <w:tc>
          <w:tcPr>
            <w:tcW w:w="1559" w:type="dxa"/>
            <w:vAlign w:val="center"/>
            <w:hideMark/>
          </w:tcPr>
          <w:p w14:paraId="38571F47"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125.000,00</w:t>
            </w:r>
          </w:p>
        </w:tc>
        <w:tc>
          <w:tcPr>
            <w:tcW w:w="1276" w:type="dxa"/>
            <w:vAlign w:val="center"/>
            <w:hideMark/>
          </w:tcPr>
          <w:p w14:paraId="0157A7E9"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72.199,86</w:t>
            </w:r>
          </w:p>
        </w:tc>
        <w:tc>
          <w:tcPr>
            <w:tcW w:w="1276" w:type="dxa"/>
            <w:vAlign w:val="center"/>
            <w:hideMark/>
          </w:tcPr>
          <w:p w14:paraId="1AD14334"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0,37%</w:t>
            </w:r>
          </w:p>
        </w:tc>
        <w:tc>
          <w:tcPr>
            <w:tcW w:w="1134" w:type="dxa"/>
            <w:vAlign w:val="center"/>
            <w:hideMark/>
          </w:tcPr>
          <w:p w14:paraId="690BE626" w14:textId="77777777" w:rsidR="008E0518" w:rsidRPr="008E0518" w:rsidRDefault="008E0518">
            <w:pPr>
              <w:jc w:val="center"/>
              <w:rPr>
                <w:rFonts w:ascii="Calibri" w:hAnsi="Calibri"/>
                <w:sz w:val="18"/>
                <w:szCs w:val="18"/>
              </w:rPr>
            </w:pPr>
            <w:r w:rsidRPr="008E0518">
              <w:rPr>
                <w:rFonts w:ascii="Calibri" w:hAnsi="Calibri"/>
                <w:sz w:val="18"/>
                <w:szCs w:val="18"/>
              </w:rPr>
              <w:t>0,27%</w:t>
            </w:r>
          </w:p>
        </w:tc>
      </w:tr>
      <w:tr w:rsidR="008E0518" w:rsidRPr="008C27E1" w14:paraId="5FD626DF" w14:textId="77777777" w:rsidTr="008E0518">
        <w:trPr>
          <w:trHeight w:val="330"/>
        </w:trPr>
        <w:tc>
          <w:tcPr>
            <w:tcW w:w="2567" w:type="dxa"/>
            <w:vAlign w:val="center"/>
            <w:hideMark/>
          </w:tcPr>
          <w:p w14:paraId="131D5D4D"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Naša banka a.d. Bijeljina</w:t>
            </w:r>
          </w:p>
        </w:tc>
        <w:tc>
          <w:tcPr>
            <w:tcW w:w="992" w:type="dxa"/>
            <w:vAlign w:val="center"/>
            <w:hideMark/>
          </w:tcPr>
          <w:p w14:paraId="68911223"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4</w:t>
            </w:r>
          </w:p>
        </w:tc>
        <w:tc>
          <w:tcPr>
            <w:tcW w:w="1559" w:type="dxa"/>
            <w:vAlign w:val="center"/>
            <w:hideMark/>
          </w:tcPr>
          <w:p w14:paraId="2071A747"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97.500,00</w:t>
            </w:r>
          </w:p>
        </w:tc>
        <w:tc>
          <w:tcPr>
            <w:tcW w:w="1276" w:type="dxa"/>
            <w:vAlign w:val="center"/>
            <w:hideMark/>
          </w:tcPr>
          <w:p w14:paraId="432B0B1C"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65.240,47</w:t>
            </w:r>
          </w:p>
        </w:tc>
        <w:tc>
          <w:tcPr>
            <w:tcW w:w="1276" w:type="dxa"/>
            <w:vAlign w:val="center"/>
            <w:hideMark/>
          </w:tcPr>
          <w:p w14:paraId="6556137A"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0,34%</w:t>
            </w:r>
          </w:p>
        </w:tc>
        <w:tc>
          <w:tcPr>
            <w:tcW w:w="1134" w:type="dxa"/>
            <w:vAlign w:val="center"/>
            <w:hideMark/>
          </w:tcPr>
          <w:p w14:paraId="32361526" w14:textId="77777777" w:rsidR="008E0518" w:rsidRPr="008E0518" w:rsidRDefault="008E0518">
            <w:pPr>
              <w:jc w:val="center"/>
              <w:rPr>
                <w:rFonts w:ascii="Calibri" w:hAnsi="Calibri"/>
                <w:sz w:val="18"/>
                <w:szCs w:val="18"/>
              </w:rPr>
            </w:pPr>
            <w:r w:rsidRPr="008E0518">
              <w:rPr>
                <w:rFonts w:ascii="Calibri" w:hAnsi="Calibri"/>
                <w:sz w:val="18"/>
                <w:szCs w:val="18"/>
              </w:rPr>
              <w:t>0,24%</w:t>
            </w:r>
          </w:p>
        </w:tc>
      </w:tr>
      <w:tr w:rsidR="008E0518" w:rsidRPr="008C27E1" w14:paraId="7A149EBB" w14:textId="77777777" w:rsidTr="008E0518">
        <w:trPr>
          <w:trHeight w:val="330"/>
        </w:trPr>
        <w:tc>
          <w:tcPr>
            <w:tcW w:w="2567" w:type="dxa"/>
            <w:vAlign w:val="center"/>
            <w:hideMark/>
          </w:tcPr>
          <w:p w14:paraId="359E3193" w14:textId="77777777" w:rsidR="008E0518" w:rsidRPr="00A944C8" w:rsidRDefault="008E0518" w:rsidP="008E0518">
            <w:pPr>
              <w:autoSpaceDE w:val="0"/>
              <w:autoSpaceDN w:val="0"/>
              <w:adjustRightInd w:val="0"/>
              <w:jc w:val="lef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Nlb banka a.d. Banja Luka</w:t>
            </w:r>
          </w:p>
        </w:tc>
        <w:tc>
          <w:tcPr>
            <w:tcW w:w="992" w:type="dxa"/>
            <w:vAlign w:val="center"/>
            <w:hideMark/>
          </w:tcPr>
          <w:p w14:paraId="10E091D9"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1</w:t>
            </w:r>
          </w:p>
        </w:tc>
        <w:tc>
          <w:tcPr>
            <w:tcW w:w="1559" w:type="dxa"/>
            <w:vAlign w:val="center"/>
            <w:hideMark/>
          </w:tcPr>
          <w:p w14:paraId="1247E337"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75.000,00</w:t>
            </w:r>
          </w:p>
        </w:tc>
        <w:tc>
          <w:tcPr>
            <w:tcW w:w="1276" w:type="dxa"/>
            <w:vAlign w:val="center"/>
            <w:hideMark/>
          </w:tcPr>
          <w:p w14:paraId="6AE45CFD" w14:textId="77777777" w:rsidR="008E0518" w:rsidRPr="00A944C8" w:rsidRDefault="008E0518" w:rsidP="008C27E1">
            <w:pPr>
              <w:autoSpaceDE w:val="0"/>
              <w:autoSpaceDN w:val="0"/>
              <w:adjustRightInd w:val="0"/>
              <w:jc w:val="right"/>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52.687,09</w:t>
            </w:r>
          </w:p>
        </w:tc>
        <w:tc>
          <w:tcPr>
            <w:tcW w:w="1276" w:type="dxa"/>
            <w:vAlign w:val="center"/>
            <w:hideMark/>
          </w:tcPr>
          <w:p w14:paraId="55D055F6" w14:textId="77777777" w:rsidR="008E0518" w:rsidRPr="00A944C8" w:rsidRDefault="008E0518" w:rsidP="008C27E1">
            <w:pPr>
              <w:autoSpaceDE w:val="0"/>
              <w:autoSpaceDN w:val="0"/>
              <w:adjustRightInd w:val="0"/>
              <w:jc w:val="center"/>
              <w:rPr>
                <w:rFonts w:asciiTheme="minorHAnsi" w:eastAsiaTheme="minorHAnsi" w:hAnsiTheme="minorHAnsi"/>
                <w:color w:val="auto"/>
                <w:sz w:val="18"/>
                <w:szCs w:val="18"/>
                <w:lang w:eastAsia="en-US"/>
              </w:rPr>
            </w:pPr>
            <w:r w:rsidRPr="00A944C8">
              <w:rPr>
                <w:rFonts w:asciiTheme="minorHAnsi" w:eastAsiaTheme="minorHAnsi" w:hAnsiTheme="minorHAnsi"/>
                <w:color w:val="auto"/>
                <w:sz w:val="18"/>
                <w:szCs w:val="18"/>
                <w:lang w:eastAsia="en-US"/>
              </w:rPr>
              <w:t>0,27%</w:t>
            </w:r>
          </w:p>
        </w:tc>
        <w:tc>
          <w:tcPr>
            <w:tcW w:w="1134" w:type="dxa"/>
            <w:vAlign w:val="center"/>
            <w:hideMark/>
          </w:tcPr>
          <w:p w14:paraId="347EA88B" w14:textId="77777777" w:rsidR="008E0518" w:rsidRPr="008E0518" w:rsidRDefault="008E0518">
            <w:pPr>
              <w:jc w:val="center"/>
              <w:rPr>
                <w:rFonts w:ascii="Calibri" w:hAnsi="Calibri"/>
                <w:sz w:val="18"/>
                <w:szCs w:val="18"/>
              </w:rPr>
            </w:pPr>
            <w:r w:rsidRPr="008E0518">
              <w:rPr>
                <w:rFonts w:ascii="Calibri" w:hAnsi="Calibri"/>
                <w:sz w:val="18"/>
                <w:szCs w:val="18"/>
              </w:rPr>
              <w:t>0,20%</w:t>
            </w:r>
          </w:p>
        </w:tc>
      </w:tr>
      <w:tr w:rsidR="008E0518" w:rsidRPr="008C27E1" w14:paraId="5D7804E4" w14:textId="77777777" w:rsidTr="008C27E1">
        <w:trPr>
          <w:trHeight w:val="330"/>
        </w:trPr>
        <w:tc>
          <w:tcPr>
            <w:tcW w:w="2567" w:type="dxa"/>
            <w:shd w:val="clear" w:color="auto" w:fill="8DB3E2" w:themeFill="text2" w:themeFillTint="66"/>
            <w:vAlign w:val="center"/>
            <w:hideMark/>
          </w:tcPr>
          <w:p w14:paraId="041A5BA8" w14:textId="77777777" w:rsidR="008E0518" w:rsidRPr="008C27E1" w:rsidRDefault="008E0518" w:rsidP="008C27E1">
            <w:pPr>
              <w:jc w:val="center"/>
              <w:rPr>
                <w:rFonts w:asciiTheme="minorHAnsi" w:hAnsiTheme="minorHAnsi"/>
                <w:b/>
                <w:bCs/>
                <w:sz w:val="18"/>
                <w:szCs w:val="18"/>
              </w:rPr>
            </w:pPr>
            <w:r w:rsidRPr="008C27E1">
              <w:rPr>
                <w:rFonts w:asciiTheme="minorHAnsi" w:hAnsiTheme="minorHAnsi"/>
                <w:b/>
                <w:bCs/>
                <w:sz w:val="18"/>
                <w:szCs w:val="18"/>
              </w:rPr>
              <w:t>УКУПНО</w:t>
            </w:r>
          </w:p>
        </w:tc>
        <w:tc>
          <w:tcPr>
            <w:tcW w:w="992" w:type="dxa"/>
            <w:shd w:val="clear" w:color="auto" w:fill="8DB3E2" w:themeFill="text2" w:themeFillTint="66"/>
            <w:vAlign w:val="center"/>
            <w:hideMark/>
          </w:tcPr>
          <w:p w14:paraId="023AE8EB" w14:textId="77777777" w:rsidR="008E0518" w:rsidRPr="008C27E1" w:rsidRDefault="008E0518" w:rsidP="008C27E1">
            <w:pPr>
              <w:jc w:val="center"/>
              <w:rPr>
                <w:rFonts w:asciiTheme="minorHAnsi" w:hAnsiTheme="minorHAnsi"/>
                <w:b/>
                <w:bCs/>
                <w:color w:val="auto"/>
                <w:sz w:val="18"/>
                <w:szCs w:val="18"/>
              </w:rPr>
            </w:pPr>
            <w:r w:rsidRPr="008C27E1">
              <w:rPr>
                <w:rFonts w:asciiTheme="minorHAnsi" w:hAnsiTheme="minorHAnsi"/>
                <w:b/>
                <w:bCs/>
                <w:color w:val="auto"/>
                <w:sz w:val="18"/>
                <w:szCs w:val="18"/>
              </w:rPr>
              <w:t>95</w:t>
            </w:r>
          </w:p>
        </w:tc>
        <w:tc>
          <w:tcPr>
            <w:tcW w:w="1559" w:type="dxa"/>
            <w:shd w:val="clear" w:color="auto" w:fill="8DB3E2" w:themeFill="text2" w:themeFillTint="66"/>
            <w:vAlign w:val="center"/>
            <w:hideMark/>
          </w:tcPr>
          <w:p w14:paraId="29062B48" w14:textId="77777777" w:rsidR="008E0518" w:rsidRPr="008C27E1" w:rsidRDefault="008E0518" w:rsidP="008C27E1">
            <w:pPr>
              <w:jc w:val="center"/>
              <w:rPr>
                <w:rFonts w:asciiTheme="minorHAnsi" w:hAnsiTheme="minorHAnsi"/>
                <w:b/>
                <w:bCs/>
                <w:sz w:val="18"/>
                <w:szCs w:val="18"/>
              </w:rPr>
            </w:pPr>
            <w:r w:rsidRPr="008C27E1">
              <w:rPr>
                <w:rFonts w:asciiTheme="minorHAnsi" w:hAnsiTheme="minorHAnsi"/>
                <w:b/>
                <w:bCs/>
                <w:sz w:val="18"/>
                <w:szCs w:val="18"/>
              </w:rPr>
              <w:t>28.061.371,04</w:t>
            </w:r>
          </w:p>
        </w:tc>
        <w:tc>
          <w:tcPr>
            <w:tcW w:w="1276" w:type="dxa"/>
            <w:shd w:val="clear" w:color="auto" w:fill="8DB3E2" w:themeFill="text2" w:themeFillTint="66"/>
            <w:vAlign w:val="center"/>
            <w:hideMark/>
          </w:tcPr>
          <w:p w14:paraId="6CB72D91" w14:textId="77777777" w:rsidR="008E0518" w:rsidRPr="008C27E1" w:rsidRDefault="008E0518" w:rsidP="008C27E1">
            <w:pPr>
              <w:ind w:left="-108" w:right="-108"/>
              <w:jc w:val="center"/>
              <w:rPr>
                <w:rFonts w:asciiTheme="minorHAnsi" w:hAnsiTheme="minorHAnsi"/>
                <w:b/>
                <w:bCs/>
                <w:sz w:val="18"/>
                <w:szCs w:val="18"/>
              </w:rPr>
            </w:pPr>
            <w:r w:rsidRPr="008C27E1">
              <w:rPr>
                <w:rFonts w:asciiTheme="minorHAnsi" w:hAnsiTheme="minorHAnsi"/>
                <w:b/>
                <w:bCs/>
                <w:sz w:val="18"/>
                <w:szCs w:val="18"/>
              </w:rPr>
              <w:t>19.414.248,21</w:t>
            </w:r>
          </w:p>
        </w:tc>
        <w:tc>
          <w:tcPr>
            <w:tcW w:w="1276" w:type="dxa"/>
            <w:shd w:val="clear" w:color="auto" w:fill="8DB3E2" w:themeFill="text2" w:themeFillTint="66"/>
            <w:vAlign w:val="center"/>
            <w:hideMark/>
          </w:tcPr>
          <w:p w14:paraId="4A5BFE4C" w14:textId="77777777" w:rsidR="008E0518" w:rsidRPr="008C27E1" w:rsidRDefault="008E0518" w:rsidP="008C27E1">
            <w:pPr>
              <w:jc w:val="center"/>
              <w:rPr>
                <w:rFonts w:asciiTheme="minorHAnsi" w:hAnsiTheme="minorHAnsi"/>
                <w:b/>
                <w:bCs/>
                <w:color w:val="auto"/>
                <w:sz w:val="18"/>
                <w:szCs w:val="18"/>
              </w:rPr>
            </w:pPr>
            <w:r w:rsidRPr="008C27E1">
              <w:rPr>
                <w:rFonts w:asciiTheme="minorHAnsi" w:hAnsiTheme="minorHAnsi"/>
                <w:b/>
                <w:bCs/>
                <w:color w:val="auto"/>
                <w:sz w:val="18"/>
                <w:szCs w:val="18"/>
              </w:rPr>
              <w:t>100%</w:t>
            </w:r>
          </w:p>
        </w:tc>
        <w:tc>
          <w:tcPr>
            <w:tcW w:w="1134" w:type="dxa"/>
            <w:shd w:val="clear" w:color="auto" w:fill="8DB3E2" w:themeFill="text2" w:themeFillTint="66"/>
            <w:vAlign w:val="center"/>
            <w:hideMark/>
          </w:tcPr>
          <w:p w14:paraId="463795BB" w14:textId="77777777" w:rsidR="008E0518" w:rsidRPr="008E0518" w:rsidRDefault="008E0518">
            <w:pPr>
              <w:jc w:val="center"/>
              <w:rPr>
                <w:rFonts w:ascii="Calibri" w:hAnsi="Calibri"/>
                <w:b/>
                <w:sz w:val="18"/>
                <w:szCs w:val="18"/>
              </w:rPr>
            </w:pPr>
          </w:p>
        </w:tc>
      </w:tr>
    </w:tbl>
    <w:p w14:paraId="6060967D" w14:textId="77777777" w:rsidR="00D44C0D" w:rsidRDefault="00D44C0D" w:rsidP="00D44C0D">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lastRenderedPageBreak/>
        <w:t>Na dan 31.12.2023. godine, aktivno je 95 pojedinačnih garancija odobrenih u nominalnom iznosu od 28.061.371,04 KM, čije stanje iznosi 19.414.248,21 KM. U strukturi aktivnih garancija dominiraju garancije izdane u korist MF banke a.d. Banja Luka. Njihovo učešće u ukupno aktivnim garancijama na dan 31.12.2023. godine iznosi 38,11% ili 7.399.343,66 KM u apsolutnom iznosu. Na drugom mjestu se nalazi Fond za razvoj i zapošljavanje a.d. Banja Luka, a garancije izdane u njegovu korist imaju učešće od 23,52%, što je 4.565.612,75 KM u apsolutnom iznosu. Preostali iznos garancija izdanih u korist Nove banke a.d. Banja Luka ima učešće od 16,20% i nalazi se na trećem mjestu.</w:t>
      </w:r>
    </w:p>
    <w:p w14:paraId="557C2B17" w14:textId="77777777" w:rsidR="00AC460F" w:rsidRDefault="00AC460F" w:rsidP="00D44C0D">
      <w:pPr>
        <w:autoSpaceDE w:val="0"/>
        <w:autoSpaceDN w:val="0"/>
        <w:adjustRightInd w:val="0"/>
        <w:rPr>
          <w:rFonts w:asciiTheme="minorHAnsi" w:eastAsiaTheme="minorHAnsi" w:hAnsiTheme="minorHAnsi"/>
          <w:color w:val="auto"/>
          <w:sz w:val="20"/>
          <w:szCs w:val="20"/>
          <w:lang w:val="sr-Cyrl-BA" w:eastAsia="en-US"/>
        </w:rPr>
      </w:pPr>
    </w:p>
    <w:p w14:paraId="0AB72AA0" w14:textId="5627F202" w:rsidR="008C27E1" w:rsidRPr="005767EF" w:rsidRDefault="00444987" w:rsidP="00D44C0D">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eastAsia="en-US"/>
        </w:rPr>
        <w:t>Garancije izdane u korist gore navedena tri finansijska posrednika čine više od tri četvrtine aktivnog portfolija pojedinačnih garancija (77,83%). Značajnije učešće ima i Procredit bank d.d. Sarajevo (12,41%), dok ostalih 7 banka ima vrlo nisko učešće koje se kreće u rasponu od 0,27% do 3,77% po banc</w:t>
      </w:r>
      <w:r w:rsidR="00AC460F">
        <w:rPr>
          <w:rFonts w:asciiTheme="minorHAnsi" w:eastAsiaTheme="minorHAnsi" w:hAnsiTheme="minorHAnsi"/>
          <w:color w:val="auto"/>
          <w:sz w:val="20"/>
          <w:szCs w:val="20"/>
          <w:lang w:eastAsia="en-US"/>
        </w:rPr>
        <w:t xml:space="preserve">i, kako je i prikazano u tabeli </w:t>
      </w:r>
      <w:r>
        <w:rPr>
          <w:rFonts w:asciiTheme="minorHAnsi" w:eastAsiaTheme="minorHAnsi" w:hAnsiTheme="minorHAnsi"/>
          <w:color w:val="auto"/>
          <w:sz w:val="20"/>
          <w:szCs w:val="20"/>
          <w:lang w:eastAsia="en-US"/>
        </w:rPr>
        <w:t>8.</w:t>
      </w:r>
    </w:p>
    <w:p w14:paraId="2FEADFB8" w14:textId="77777777" w:rsidR="00C04095" w:rsidRDefault="00C04095" w:rsidP="00D44C0D">
      <w:pPr>
        <w:autoSpaceDE w:val="0"/>
        <w:autoSpaceDN w:val="0"/>
        <w:adjustRightInd w:val="0"/>
        <w:rPr>
          <w:rFonts w:asciiTheme="minorHAnsi" w:hAnsiTheme="minorHAnsi"/>
          <w:sz w:val="20"/>
          <w:szCs w:val="20"/>
          <w:lang w:val="sr-Cyrl-BA"/>
        </w:rPr>
      </w:pPr>
    </w:p>
    <w:p w14:paraId="60955408" w14:textId="77777777" w:rsidR="00D44C0D" w:rsidRPr="008E0518" w:rsidRDefault="008E0518" w:rsidP="00245931">
      <w:pPr>
        <w:pStyle w:val="Default"/>
        <w:jc w:val="both"/>
        <w:rPr>
          <w:rFonts w:asciiTheme="minorHAnsi" w:hAnsiTheme="minorHAnsi" w:cs="Times New Roman"/>
          <w:color w:val="auto"/>
          <w:sz w:val="20"/>
          <w:szCs w:val="20"/>
          <w:lang w:val="sr-Cyrl-RS"/>
        </w:rPr>
      </w:pPr>
      <w:r>
        <w:rPr>
          <w:rFonts w:asciiTheme="minorHAnsi" w:hAnsiTheme="minorHAnsi" w:cs="Times New Roman"/>
          <w:color w:val="auto"/>
          <w:sz w:val="20"/>
          <w:szCs w:val="20"/>
        </w:rPr>
        <w:t>Poslednja kolona tabele 8 prikazuje izloženost prema svakom finansijskom posredniku po osnovu pojedinačnih garancija. Član 14, stav 3 Zakona o Garnantom fondu propisuje da ukupan iznos garantovanih obaveza prema finansijskom posredniku ne može biti veći od 30% garantnog potencijala Fonda, odnosno 27.000.000,00 KM u apsolutnom iznosu. Trenutna izloženost po osnovu pojedinačnih garancija je najveća prema MF banci a.d. Banja Luka i iznosi 27,40%. Izloženost prema svim bankama je znatno ispod nivoa maksimalne izloženosti koju propisuje Zakon.</w:t>
      </w:r>
    </w:p>
    <w:p w14:paraId="5BC5ADF7" w14:textId="77777777" w:rsidR="0070222F" w:rsidRPr="005767EF" w:rsidRDefault="0070222F" w:rsidP="001538EF">
      <w:pPr>
        <w:pStyle w:val="Default"/>
        <w:jc w:val="both"/>
        <w:rPr>
          <w:rFonts w:asciiTheme="minorHAnsi" w:hAnsiTheme="minorHAnsi" w:cs="Times New Roman"/>
          <w:color w:val="auto"/>
          <w:sz w:val="20"/>
          <w:szCs w:val="20"/>
        </w:rPr>
      </w:pPr>
    </w:p>
    <w:p w14:paraId="49AFCE9F" w14:textId="77777777" w:rsidR="0070222F" w:rsidRPr="005767EF" w:rsidRDefault="0070222F" w:rsidP="001538EF">
      <w:pPr>
        <w:pStyle w:val="Default"/>
        <w:jc w:val="both"/>
        <w:rPr>
          <w:rFonts w:asciiTheme="minorHAnsi" w:hAnsiTheme="minorHAnsi" w:cs="Times New Roman"/>
          <w:color w:val="auto"/>
          <w:sz w:val="20"/>
          <w:szCs w:val="20"/>
        </w:rPr>
      </w:pPr>
    </w:p>
    <w:p w14:paraId="78968732" w14:textId="77777777" w:rsidR="001538EF" w:rsidRPr="005767EF" w:rsidRDefault="001538EF" w:rsidP="001538EF">
      <w:pPr>
        <w:pStyle w:val="Default"/>
        <w:jc w:val="both"/>
        <w:rPr>
          <w:rFonts w:asciiTheme="minorHAnsi" w:hAnsiTheme="minorHAnsi" w:cs="Times New Roman"/>
          <w:color w:val="auto"/>
          <w:sz w:val="20"/>
          <w:szCs w:val="20"/>
          <w:lang w:val="sr-Cyrl-BA"/>
        </w:rPr>
      </w:pPr>
    </w:p>
    <w:p w14:paraId="41CD7669" w14:textId="77777777" w:rsidR="001538EF" w:rsidRPr="005767EF" w:rsidRDefault="001538EF" w:rsidP="001538EF">
      <w:pPr>
        <w:pStyle w:val="Default"/>
        <w:jc w:val="both"/>
        <w:rPr>
          <w:rFonts w:asciiTheme="minorHAnsi" w:hAnsiTheme="minorHAnsi" w:cs="Times New Roman"/>
          <w:color w:val="auto"/>
          <w:sz w:val="20"/>
          <w:szCs w:val="20"/>
          <w:lang w:val="sr-Cyrl-BA"/>
        </w:rPr>
      </w:pPr>
    </w:p>
    <w:p w14:paraId="02446DB2" w14:textId="77777777" w:rsidR="001538EF" w:rsidRDefault="001538EF" w:rsidP="001538EF">
      <w:pPr>
        <w:pStyle w:val="Default"/>
        <w:jc w:val="both"/>
        <w:rPr>
          <w:rFonts w:asciiTheme="minorHAnsi" w:hAnsiTheme="minorHAnsi" w:cs="Times New Roman"/>
          <w:color w:val="auto"/>
          <w:sz w:val="20"/>
          <w:szCs w:val="20"/>
          <w:lang w:val="sr-Cyrl-BA"/>
        </w:rPr>
      </w:pPr>
    </w:p>
    <w:p w14:paraId="1630E716" w14:textId="77777777" w:rsidR="00BE15F9" w:rsidRDefault="00BE15F9" w:rsidP="001538EF">
      <w:pPr>
        <w:pStyle w:val="Default"/>
        <w:jc w:val="both"/>
        <w:rPr>
          <w:rFonts w:asciiTheme="minorHAnsi" w:hAnsiTheme="minorHAnsi" w:cs="Times New Roman"/>
          <w:color w:val="auto"/>
          <w:sz w:val="20"/>
          <w:szCs w:val="20"/>
          <w:lang w:val="sr-Cyrl-BA"/>
        </w:rPr>
      </w:pPr>
    </w:p>
    <w:p w14:paraId="6D1DEAEB" w14:textId="77777777" w:rsidR="00BE15F9" w:rsidRDefault="00BE15F9" w:rsidP="001538EF">
      <w:pPr>
        <w:pStyle w:val="Default"/>
        <w:jc w:val="both"/>
        <w:rPr>
          <w:rFonts w:asciiTheme="minorHAnsi" w:hAnsiTheme="minorHAnsi" w:cs="Times New Roman"/>
          <w:color w:val="auto"/>
          <w:sz w:val="20"/>
          <w:szCs w:val="20"/>
          <w:lang w:val="sr-Cyrl-BA"/>
        </w:rPr>
      </w:pPr>
    </w:p>
    <w:p w14:paraId="2FCA257E" w14:textId="77777777" w:rsidR="00BE15F9" w:rsidRDefault="00BE15F9" w:rsidP="001538EF">
      <w:pPr>
        <w:pStyle w:val="Default"/>
        <w:jc w:val="both"/>
        <w:rPr>
          <w:rFonts w:asciiTheme="minorHAnsi" w:hAnsiTheme="minorHAnsi" w:cs="Times New Roman"/>
          <w:color w:val="auto"/>
          <w:sz w:val="20"/>
          <w:szCs w:val="20"/>
          <w:lang w:val="sr-Cyrl-BA"/>
        </w:rPr>
      </w:pPr>
    </w:p>
    <w:p w14:paraId="790D30CE" w14:textId="77777777" w:rsidR="00BE15F9" w:rsidRDefault="00BE15F9" w:rsidP="001538EF">
      <w:pPr>
        <w:pStyle w:val="Default"/>
        <w:jc w:val="both"/>
        <w:rPr>
          <w:rFonts w:asciiTheme="minorHAnsi" w:hAnsiTheme="minorHAnsi" w:cs="Times New Roman"/>
          <w:color w:val="auto"/>
          <w:sz w:val="20"/>
          <w:szCs w:val="20"/>
          <w:lang w:val="sr-Cyrl-BA"/>
        </w:rPr>
      </w:pPr>
    </w:p>
    <w:p w14:paraId="0A164D78" w14:textId="77777777" w:rsidR="00BE15F9" w:rsidRDefault="00BE15F9" w:rsidP="001538EF">
      <w:pPr>
        <w:pStyle w:val="Default"/>
        <w:jc w:val="both"/>
        <w:rPr>
          <w:rFonts w:asciiTheme="minorHAnsi" w:hAnsiTheme="minorHAnsi" w:cs="Times New Roman"/>
          <w:color w:val="auto"/>
          <w:sz w:val="20"/>
          <w:szCs w:val="20"/>
          <w:lang w:val="sr-Cyrl-BA"/>
        </w:rPr>
      </w:pPr>
    </w:p>
    <w:p w14:paraId="14A6A72C" w14:textId="77777777" w:rsidR="00BE15F9" w:rsidRDefault="00BE15F9" w:rsidP="001538EF">
      <w:pPr>
        <w:pStyle w:val="Default"/>
        <w:jc w:val="both"/>
        <w:rPr>
          <w:rFonts w:asciiTheme="minorHAnsi" w:hAnsiTheme="minorHAnsi" w:cs="Times New Roman"/>
          <w:color w:val="auto"/>
          <w:sz w:val="20"/>
          <w:szCs w:val="20"/>
          <w:lang w:val="sr-Cyrl-BA"/>
        </w:rPr>
      </w:pPr>
    </w:p>
    <w:p w14:paraId="58680DC3" w14:textId="77777777" w:rsidR="00BE15F9" w:rsidRDefault="00BE15F9" w:rsidP="001538EF">
      <w:pPr>
        <w:pStyle w:val="Default"/>
        <w:jc w:val="both"/>
        <w:rPr>
          <w:rFonts w:asciiTheme="minorHAnsi" w:hAnsiTheme="minorHAnsi" w:cs="Times New Roman"/>
          <w:color w:val="auto"/>
          <w:sz w:val="20"/>
          <w:szCs w:val="20"/>
          <w:lang w:val="sr-Cyrl-BA"/>
        </w:rPr>
      </w:pPr>
    </w:p>
    <w:p w14:paraId="2AE4D652" w14:textId="77777777" w:rsidR="00BE15F9" w:rsidRDefault="00BE15F9" w:rsidP="001538EF">
      <w:pPr>
        <w:pStyle w:val="Default"/>
        <w:jc w:val="both"/>
        <w:rPr>
          <w:rFonts w:asciiTheme="minorHAnsi" w:hAnsiTheme="minorHAnsi" w:cs="Times New Roman"/>
          <w:color w:val="auto"/>
          <w:sz w:val="20"/>
          <w:szCs w:val="20"/>
          <w:lang w:val="sr-Cyrl-BA"/>
        </w:rPr>
      </w:pPr>
    </w:p>
    <w:p w14:paraId="27FED185" w14:textId="77777777" w:rsidR="00BE15F9" w:rsidRDefault="00BE15F9" w:rsidP="001538EF">
      <w:pPr>
        <w:pStyle w:val="Default"/>
        <w:jc w:val="both"/>
        <w:rPr>
          <w:rFonts w:asciiTheme="minorHAnsi" w:hAnsiTheme="minorHAnsi" w:cs="Times New Roman"/>
          <w:color w:val="auto"/>
          <w:sz w:val="20"/>
          <w:szCs w:val="20"/>
          <w:lang w:val="sr-Cyrl-BA"/>
        </w:rPr>
      </w:pPr>
    </w:p>
    <w:p w14:paraId="75B8AAF6" w14:textId="77777777" w:rsidR="00BE15F9" w:rsidRDefault="00BE15F9" w:rsidP="001538EF">
      <w:pPr>
        <w:pStyle w:val="Default"/>
        <w:jc w:val="both"/>
        <w:rPr>
          <w:rFonts w:asciiTheme="minorHAnsi" w:hAnsiTheme="minorHAnsi" w:cs="Times New Roman"/>
          <w:color w:val="auto"/>
          <w:sz w:val="20"/>
          <w:szCs w:val="20"/>
          <w:lang w:val="sr-Cyrl-BA"/>
        </w:rPr>
      </w:pPr>
    </w:p>
    <w:p w14:paraId="4883A2CB" w14:textId="77777777" w:rsidR="00BE15F9" w:rsidRDefault="00BE15F9" w:rsidP="001538EF">
      <w:pPr>
        <w:pStyle w:val="Default"/>
        <w:jc w:val="both"/>
        <w:rPr>
          <w:rFonts w:asciiTheme="minorHAnsi" w:hAnsiTheme="minorHAnsi" w:cs="Times New Roman"/>
          <w:color w:val="auto"/>
          <w:sz w:val="20"/>
          <w:szCs w:val="20"/>
          <w:lang w:val="sr-Cyrl-BA"/>
        </w:rPr>
      </w:pPr>
    </w:p>
    <w:p w14:paraId="7D09104C" w14:textId="77777777" w:rsidR="00BE15F9" w:rsidRDefault="00BE15F9" w:rsidP="001538EF">
      <w:pPr>
        <w:pStyle w:val="Default"/>
        <w:jc w:val="both"/>
        <w:rPr>
          <w:rFonts w:asciiTheme="minorHAnsi" w:hAnsiTheme="minorHAnsi" w:cs="Times New Roman"/>
          <w:color w:val="auto"/>
          <w:sz w:val="20"/>
          <w:szCs w:val="20"/>
          <w:lang w:val="sr-Cyrl-BA"/>
        </w:rPr>
      </w:pPr>
    </w:p>
    <w:p w14:paraId="5FC3298B" w14:textId="77777777" w:rsidR="00BE15F9" w:rsidRDefault="00BE15F9" w:rsidP="001538EF">
      <w:pPr>
        <w:pStyle w:val="Default"/>
        <w:jc w:val="both"/>
        <w:rPr>
          <w:rFonts w:asciiTheme="minorHAnsi" w:hAnsiTheme="minorHAnsi" w:cs="Times New Roman"/>
          <w:color w:val="auto"/>
          <w:sz w:val="20"/>
          <w:szCs w:val="20"/>
          <w:lang w:val="sr-Cyrl-BA"/>
        </w:rPr>
      </w:pPr>
    </w:p>
    <w:p w14:paraId="5D1DB61A" w14:textId="77777777" w:rsidR="00BE15F9" w:rsidRDefault="00BE15F9" w:rsidP="001538EF">
      <w:pPr>
        <w:pStyle w:val="Default"/>
        <w:jc w:val="both"/>
        <w:rPr>
          <w:rFonts w:asciiTheme="minorHAnsi" w:hAnsiTheme="minorHAnsi" w:cs="Times New Roman"/>
          <w:color w:val="auto"/>
          <w:sz w:val="20"/>
          <w:szCs w:val="20"/>
          <w:lang w:val="sr-Cyrl-BA"/>
        </w:rPr>
      </w:pPr>
    </w:p>
    <w:p w14:paraId="57DFDFE8" w14:textId="77777777" w:rsidR="00BE15F9" w:rsidRDefault="00BE15F9" w:rsidP="001538EF">
      <w:pPr>
        <w:pStyle w:val="Default"/>
        <w:jc w:val="both"/>
        <w:rPr>
          <w:rFonts w:asciiTheme="minorHAnsi" w:hAnsiTheme="minorHAnsi" w:cs="Times New Roman"/>
          <w:color w:val="auto"/>
          <w:sz w:val="20"/>
          <w:szCs w:val="20"/>
          <w:lang w:val="sr-Cyrl-BA"/>
        </w:rPr>
      </w:pPr>
    </w:p>
    <w:p w14:paraId="429DA6AA" w14:textId="77777777" w:rsidR="00BE15F9" w:rsidRDefault="00BE15F9" w:rsidP="001538EF">
      <w:pPr>
        <w:pStyle w:val="Default"/>
        <w:jc w:val="both"/>
        <w:rPr>
          <w:rFonts w:asciiTheme="minorHAnsi" w:hAnsiTheme="minorHAnsi" w:cs="Times New Roman"/>
          <w:color w:val="auto"/>
          <w:sz w:val="20"/>
          <w:szCs w:val="20"/>
          <w:lang w:val="sr-Cyrl-BA"/>
        </w:rPr>
      </w:pPr>
    </w:p>
    <w:p w14:paraId="350FAA5D" w14:textId="77777777" w:rsidR="00BE15F9" w:rsidRDefault="00BE15F9" w:rsidP="001538EF">
      <w:pPr>
        <w:pStyle w:val="Default"/>
        <w:jc w:val="both"/>
        <w:rPr>
          <w:rFonts w:asciiTheme="minorHAnsi" w:hAnsiTheme="minorHAnsi" w:cs="Times New Roman"/>
          <w:color w:val="auto"/>
          <w:sz w:val="20"/>
          <w:szCs w:val="20"/>
          <w:lang w:val="sr-Cyrl-BA"/>
        </w:rPr>
      </w:pPr>
    </w:p>
    <w:p w14:paraId="35078D20" w14:textId="77777777" w:rsidR="00BE15F9" w:rsidRDefault="00BE15F9" w:rsidP="001538EF">
      <w:pPr>
        <w:pStyle w:val="Default"/>
        <w:jc w:val="both"/>
        <w:rPr>
          <w:rFonts w:asciiTheme="minorHAnsi" w:hAnsiTheme="minorHAnsi" w:cs="Times New Roman"/>
          <w:color w:val="auto"/>
          <w:sz w:val="20"/>
          <w:szCs w:val="20"/>
          <w:lang w:val="sr-Cyrl-BA"/>
        </w:rPr>
      </w:pPr>
    </w:p>
    <w:p w14:paraId="7DBDC835" w14:textId="77777777" w:rsidR="00BE15F9" w:rsidRDefault="00BE15F9" w:rsidP="001538EF">
      <w:pPr>
        <w:pStyle w:val="Default"/>
        <w:jc w:val="both"/>
        <w:rPr>
          <w:rFonts w:asciiTheme="minorHAnsi" w:hAnsiTheme="minorHAnsi" w:cs="Times New Roman"/>
          <w:color w:val="auto"/>
          <w:sz w:val="20"/>
          <w:szCs w:val="20"/>
          <w:lang w:val="sr-Cyrl-BA"/>
        </w:rPr>
      </w:pPr>
    </w:p>
    <w:p w14:paraId="74B6934F" w14:textId="77777777" w:rsidR="00BE15F9" w:rsidRDefault="00BE15F9" w:rsidP="001538EF">
      <w:pPr>
        <w:pStyle w:val="Default"/>
        <w:jc w:val="both"/>
        <w:rPr>
          <w:rFonts w:asciiTheme="minorHAnsi" w:hAnsiTheme="minorHAnsi" w:cs="Times New Roman"/>
          <w:color w:val="auto"/>
          <w:sz w:val="20"/>
          <w:szCs w:val="20"/>
          <w:lang w:val="sr-Cyrl-BA"/>
        </w:rPr>
      </w:pPr>
    </w:p>
    <w:p w14:paraId="1B3E39DC" w14:textId="77777777" w:rsidR="00BE15F9" w:rsidRDefault="00BE15F9" w:rsidP="001538EF">
      <w:pPr>
        <w:pStyle w:val="Default"/>
        <w:jc w:val="both"/>
        <w:rPr>
          <w:rFonts w:asciiTheme="minorHAnsi" w:hAnsiTheme="minorHAnsi" w:cs="Times New Roman"/>
          <w:color w:val="auto"/>
          <w:sz w:val="20"/>
          <w:szCs w:val="20"/>
          <w:lang w:val="sr-Cyrl-BA"/>
        </w:rPr>
      </w:pPr>
    </w:p>
    <w:p w14:paraId="3D3E5FA6" w14:textId="77777777" w:rsidR="00BE15F9" w:rsidRDefault="00BE15F9" w:rsidP="001538EF">
      <w:pPr>
        <w:pStyle w:val="Default"/>
        <w:jc w:val="both"/>
        <w:rPr>
          <w:rFonts w:asciiTheme="minorHAnsi" w:hAnsiTheme="minorHAnsi" w:cs="Times New Roman"/>
          <w:color w:val="auto"/>
          <w:sz w:val="20"/>
          <w:szCs w:val="20"/>
          <w:lang w:val="sr-Cyrl-BA"/>
        </w:rPr>
      </w:pPr>
    </w:p>
    <w:p w14:paraId="1CE83C06" w14:textId="77777777" w:rsidR="00BE15F9" w:rsidRDefault="00BE15F9" w:rsidP="001538EF">
      <w:pPr>
        <w:pStyle w:val="Default"/>
        <w:jc w:val="both"/>
        <w:rPr>
          <w:rFonts w:asciiTheme="minorHAnsi" w:hAnsiTheme="minorHAnsi" w:cs="Times New Roman"/>
          <w:color w:val="auto"/>
          <w:sz w:val="20"/>
          <w:szCs w:val="20"/>
          <w:lang w:val="sr-Cyrl-BA"/>
        </w:rPr>
      </w:pPr>
    </w:p>
    <w:p w14:paraId="1453680E" w14:textId="77777777" w:rsidR="00BE15F9" w:rsidRDefault="00BE15F9" w:rsidP="001538EF">
      <w:pPr>
        <w:pStyle w:val="Default"/>
        <w:jc w:val="both"/>
        <w:rPr>
          <w:rFonts w:asciiTheme="minorHAnsi" w:hAnsiTheme="minorHAnsi" w:cs="Times New Roman"/>
          <w:color w:val="auto"/>
          <w:sz w:val="20"/>
          <w:szCs w:val="20"/>
          <w:lang w:val="sr-Cyrl-BA"/>
        </w:rPr>
      </w:pPr>
    </w:p>
    <w:p w14:paraId="5ECBAB90" w14:textId="77777777" w:rsidR="00BE15F9" w:rsidRDefault="00BE15F9" w:rsidP="001538EF">
      <w:pPr>
        <w:pStyle w:val="Default"/>
        <w:jc w:val="both"/>
        <w:rPr>
          <w:rFonts w:asciiTheme="minorHAnsi" w:hAnsiTheme="minorHAnsi" w:cs="Times New Roman"/>
          <w:color w:val="auto"/>
          <w:sz w:val="20"/>
          <w:szCs w:val="20"/>
          <w:lang w:val="sr-Cyrl-BA"/>
        </w:rPr>
      </w:pPr>
    </w:p>
    <w:p w14:paraId="4681A248" w14:textId="77777777" w:rsidR="00BE15F9" w:rsidRDefault="00BE15F9" w:rsidP="001538EF">
      <w:pPr>
        <w:pStyle w:val="Default"/>
        <w:jc w:val="both"/>
        <w:rPr>
          <w:rFonts w:asciiTheme="minorHAnsi" w:hAnsiTheme="minorHAnsi" w:cs="Times New Roman"/>
          <w:color w:val="auto"/>
          <w:sz w:val="20"/>
          <w:szCs w:val="20"/>
          <w:lang w:val="sr-Cyrl-BA"/>
        </w:rPr>
      </w:pPr>
    </w:p>
    <w:p w14:paraId="763B7E5E" w14:textId="77777777" w:rsidR="00BE15F9" w:rsidRDefault="00BE15F9" w:rsidP="001538EF">
      <w:pPr>
        <w:pStyle w:val="Default"/>
        <w:jc w:val="both"/>
        <w:rPr>
          <w:rFonts w:asciiTheme="minorHAnsi" w:hAnsiTheme="minorHAnsi" w:cs="Times New Roman"/>
          <w:color w:val="auto"/>
          <w:sz w:val="20"/>
          <w:szCs w:val="20"/>
          <w:lang w:val="sr-Cyrl-BA"/>
        </w:rPr>
      </w:pPr>
    </w:p>
    <w:p w14:paraId="636BD0A9" w14:textId="77777777" w:rsidR="00BE15F9" w:rsidRDefault="00BE15F9" w:rsidP="001538EF">
      <w:pPr>
        <w:pStyle w:val="Default"/>
        <w:jc w:val="both"/>
        <w:rPr>
          <w:rFonts w:asciiTheme="minorHAnsi" w:hAnsiTheme="minorHAnsi" w:cs="Times New Roman"/>
          <w:color w:val="auto"/>
          <w:sz w:val="20"/>
          <w:szCs w:val="20"/>
          <w:lang w:val="sr-Cyrl-BA"/>
        </w:rPr>
      </w:pPr>
    </w:p>
    <w:p w14:paraId="3A30CE9E" w14:textId="77777777" w:rsidR="00BE15F9" w:rsidRDefault="00BE15F9" w:rsidP="001538EF">
      <w:pPr>
        <w:pStyle w:val="Default"/>
        <w:jc w:val="both"/>
        <w:rPr>
          <w:rFonts w:asciiTheme="minorHAnsi" w:hAnsiTheme="minorHAnsi" w:cs="Times New Roman"/>
          <w:color w:val="auto"/>
          <w:sz w:val="20"/>
          <w:szCs w:val="20"/>
          <w:lang w:val="sr-Cyrl-BA"/>
        </w:rPr>
      </w:pPr>
    </w:p>
    <w:p w14:paraId="7D735A76" w14:textId="77777777" w:rsidR="00BE15F9" w:rsidRDefault="00BE15F9" w:rsidP="001538EF">
      <w:pPr>
        <w:pStyle w:val="Default"/>
        <w:jc w:val="both"/>
        <w:rPr>
          <w:rFonts w:asciiTheme="minorHAnsi" w:hAnsiTheme="minorHAnsi" w:cs="Times New Roman"/>
          <w:color w:val="auto"/>
          <w:sz w:val="20"/>
          <w:szCs w:val="20"/>
          <w:lang w:val="sr-Cyrl-BA"/>
        </w:rPr>
      </w:pPr>
    </w:p>
    <w:p w14:paraId="4D62639E" w14:textId="77777777" w:rsidR="00BE15F9" w:rsidRDefault="00BE15F9" w:rsidP="001538EF">
      <w:pPr>
        <w:pStyle w:val="Default"/>
        <w:jc w:val="both"/>
        <w:rPr>
          <w:rFonts w:asciiTheme="minorHAnsi" w:hAnsiTheme="minorHAnsi" w:cs="Times New Roman"/>
          <w:color w:val="auto"/>
          <w:sz w:val="20"/>
          <w:szCs w:val="20"/>
          <w:lang w:val="sr-Cyrl-BA"/>
        </w:rPr>
      </w:pPr>
    </w:p>
    <w:p w14:paraId="52947CE3" w14:textId="77777777" w:rsidR="00BE15F9" w:rsidRDefault="00BE15F9" w:rsidP="001538EF">
      <w:pPr>
        <w:pStyle w:val="Default"/>
        <w:jc w:val="both"/>
        <w:rPr>
          <w:rFonts w:asciiTheme="minorHAnsi" w:hAnsiTheme="minorHAnsi" w:cs="Times New Roman"/>
          <w:color w:val="auto"/>
          <w:sz w:val="20"/>
          <w:szCs w:val="20"/>
          <w:lang w:val="sr-Cyrl-BA"/>
        </w:rPr>
      </w:pPr>
    </w:p>
    <w:p w14:paraId="2587FE29" w14:textId="77777777" w:rsidR="00BE15F9" w:rsidRDefault="00BE15F9" w:rsidP="001538EF">
      <w:pPr>
        <w:pStyle w:val="Default"/>
        <w:jc w:val="both"/>
        <w:rPr>
          <w:rFonts w:asciiTheme="minorHAnsi" w:hAnsiTheme="minorHAnsi" w:cs="Times New Roman"/>
          <w:color w:val="auto"/>
          <w:sz w:val="20"/>
          <w:szCs w:val="20"/>
          <w:lang w:val="sr-Cyrl-BA"/>
        </w:rPr>
      </w:pPr>
    </w:p>
    <w:p w14:paraId="6D2E41BC" w14:textId="77777777" w:rsidR="00932859" w:rsidRPr="005767EF" w:rsidRDefault="00932859" w:rsidP="001538EF">
      <w:pPr>
        <w:pStyle w:val="Default"/>
        <w:jc w:val="both"/>
        <w:rPr>
          <w:rFonts w:asciiTheme="minorHAnsi" w:hAnsiTheme="minorHAnsi" w:cs="Times New Roman"/>
          <w:color w:val="auto"/>
          <w:sz w:val="20"/>
          <w:szCs w:val="20"/>
          <w:lang w:val="sr-Cyrl-BA"/>
        </w:rPr>
      </w:pPr>
    </w:p>
    <w:p w14:paraId="229CB725" w14:textId="0C997C0E" w:rsidR="001538EF" w:rsidRPr="00036827" w:rsidRDefault="00E84021" w:rsidP="00E84021">
      <w:pPr>
        <w:pStyle w:val="Heading2"/>
        <w:numPr>
          <w:ilvl w:val="0"/>
          <w:numId w:val="0"/>
        </w:numPr>
        <w:rPr>
          <w:rFonts w:asciiTheme="minorHAnsi" w:hAnsiTheme="minorHAnsi"/>
          <w:b/>
          <w:szCs w:val="20"/>
        </w:rPr>
      </w:pPr>
      <w:bookmarkStart w:id="7" w:name="_Toc135292170"/>
      <w:r>
        <w:rPr>
          <w:rFonts w:asciiTheme="minorHAnsi" w:hAnsiTheme="minorHAnsi"/>
          <w:b/>
          <w:szCs w:val="20"/>
        </w:rPr>
        <w:lastRenderedPageBreak/>
        <w:t xml:space="preserve">2 .2 </w:t>
      </w:r>
      <w:r w:rsidR="00433186">
        <w:rPr>
          <w:rFonts w:asciiTheme="minorHAnsi" w:hAnsiTheme="minorHAnsi"/>
          <w:b/>
          <w:szCs w:val="20"/>
          <w:lang w:val="sr-Latn-BA"/>
        </w:rPr>
        <w:t xml:space="preserve"> </w:t>
      </w:r>
      <w:r>
        <w:rPr>
          <w:rFonts w:asciiTheme="minorHAnsi" w:hAnsiTheme="minorHAnsi"/>
          <w:b/>
          <w:szCs w:val="20"/>
        </w:rPr>
        <w:t>ANALIZA</w:t>
      </w:r>
      <w:r w:rsidR="00433186">
        <w:rPr>
          <w:rFonts w:asciiTheme="minorHAnsi" w:hAnsiTheme="minorHAnsi"/>
          <w:b/>
          <w:szCs w:val="20"/>
          <w:lang w:val="sr-Latn-BA"/>
        </w:rPr>
        <w:t xml:space="preserve"> </w:t>
      </w:r>
      <w:r>
        <w:rPr>
          <w:rFonts w:asciiTheme="minorHAnsi" w:hAnsiTheme="minorHAnsi"/>
          <w:b/>
          <w:szCs w:val="20"/>
        </w:rPr>
        <w:t xml:space="preserve"> IZDANIH</w:t>
      </w:r>
      <w:r w:rsidR="00433186">
        <w:rPr>
          <w:rFonts w:asciiTheme="minorHAnsi" w:hAnsiTheme="minorHAnsi"/>
          <w:b/>
          <w:szCs w:val="20"/>
          <w:lang w:val="sr-Latn-BA"/>
        </w:rPr>
        <w:t xml:space="preserve"> </w:t>
      </w:r>
      <w:r>
        <w:rPr>
          <w:rFonts w:asciiTheme="minorHAnsi" w:hAnsiTheme="minorHAnsi"/>
          <w:b/>
          <w:szCs w:val="20"/>
        </w:rPr>
        <w:t xml:space="preserve"> GARANCIJA</w:t>
      </w:r>
      <w:r w:rsidR="00433186">
        <w:rPr>
          <w:rFonts w:asciiTheme="minorHAnsi" w:hAnsiTheme="minorHAnsi"/>
          <w:b/>
          <w:szCs w:val="20"/>
          <w:lang w:val="sr-Latn-BA"/>
        </w:rPr>
        <w:t xml:space="preserve"> </w:t>
      </w:r>
      <w:r>
        <w:rPr>
          <w:rFonts w:asciiTheme="minorHAnsi" w:hAnsiTheme="minorHAnsi"/>
          <w:b/>
          <w:szCs w:val="20"/>
        </w:rPr>
        <w:t xml:space="preserve"> U</w:t>
      </w:r>
      <w:r w:rsidR="00433186">
        <w:rPr>
          <w:rFonts w:asciiTheme="minorHAnsi" w:hAnsiTheme="minorHAnsi"/>
          <w:b/>
          <w:szCs w:val="20"/>
          <w:lang w:val="sr-Latn-BA"/>
        </w:rPr>
        <w:t xml:space="preserve"> </w:t>
      </w:r>
      <w:r>
        <w:rPr>
          <w:rFonts w:asciiTheme="minorHAnsi" w:hAnsiTheme="minorHAnsi"/>
          <w:b/>
          <w:szCs w:val="20"/>
        </w:rPr>
        <w:t xml:space="preserve"> OKVIRU</w:t>
      </w:r>
      <w:r w:rsidR="00433186">
        <w:rPr>
          <w:rFonts w:asciiTheme="minorHAnsi" w:hAnsiTheme="minorHAnsi"/>
          <w:b/>
          <w:szCs w:val="20"/>
          <w:lang w:val="sr-Latn-BA"/>
        </w:rPr>
        <w:t xml:space="preserve"> </w:t>
      </w:r>
      <w:r>
        <w:rPr>
          <w:rFonts w:asciiTheme="minorHAnsi" w:hAnsiTheme="minorHAnsi"/>
          <w:b/>
          <w:szCs w:val="20"/>
        </w:rPr>
        <w:t xml:space="preserve"> KREDITNOG</w:t>
      </w:r>
      <w:r w:rsidR="00433186">
        <w:rPr>
          <w:rFonts w:asciiTheme="minorHAnsi" w:hAnsiTheme="minorHAnsi"/>
          <w:b/>
          <w:szCs w:val="20"/>
          <w:lang w:val="sr-Latn-BA"/>
        </w:rPr>
        <w:t xml:space="preserve"> </w:t>
      </w:r>
      <w:r>
        <w:rPr>
          <w:rFonts w:asciiTheme="minorHAnsi" w:hAnsiTheme="minorHAnsi"/>
          <w:b/>
          <w:szCs w:val="20"/>
        </w:rPr>
        <w:t xml:space="preserve"> PORTFOLIJA</w:t>
      </w:r>
      <w:r w:rsidR="00433186">
        <w:rPr>
          <w:rFonts w:asciiTheme="minorHAnsi" w:hAnsiTheme="minorHAnsi"/>
          <w:b/>
          <w:szCs w:val="20"/>
          <w:lang w:val="sr-Latn-BA"/>
        </w:rPr>
        <w:t xml:space="preserve"> </w:t>
      </w:r>
      <w:r>
        <w:rPr>
          <w:rFonts w:asciiTheme="minorHAnsi" w:hAnsiTheme="minorHAnsi"/>
          <w:b/>
          <w:szCs w:val="20"/>
        </w:rPr>
        <w:t xml:space="preserve"> FINANSIJSKIH</w:t>
      </w:r>
      <w:r w:rsidR="00433186">
        <w:rPr>
          <w:rFonts w:asciiTheme="minorHAnsi" w:hAnsiTheme="minorHAnsi"/>
          <w:b/>
          <w:szCs w:val="20"/>
          <w:lang w:val="sr-Latn-BA"/>
        </w:rPr>
        <w:t xml:space="preserve"> </w:t>
      </w:r>
      <w:r>
        <w:rPr>
          <w:rFonts w:asciiTheme="minorHAnsi" w:hAnsiTheme="minorHAnsi"/>
          <w:b/>
          <w:szCs w:val="20"/>
        </w:rPr>
        <w:t xml:space="preserve"> POSREDNIKA </w:t>
      </w:r>
      <w:bookmarkEnd w:id="7"/>
    </w:p>
    <w:p w14:paraId="712AC501" w14:textId="77777777" w:rsidR="00036827" w:rsidRPr="00036827" w:rsidRDefault="00036827" w:rsidP="00036827">
      <w:pPr>
        <w:pStyle w:val="Heading2"/>
        <w:numPr>
          <w:ilvl w:val="0"/>
          <w:numId w:val="0"/>
        </w:numPr>
        <w:ind w:left="576"/>
        <w:rPr>
          <w:rFonts w:asciiTheme="minorHAnsi" w:hAnsiTheme="minorHAnsi"/>
          <w:b/>
          <w:szCs w:val="20"/>
        </w:rPr>
      </w:pPr>
    </w:p>
    <w:p w14:paraId="10D4AAE8" w14:textId="7738CC7F" w:rsidR="00A13C00" w:rsidRDefault="003B2F4F"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 xml:space="preserve">Odredbama člana 2 Zakona o izmjenama i dopunama Zakona o Garantnom fondu Republike Srpske („Službeni glasnik Republike Srpske“ broj 107/19)  </w:t>
      </w:r>
      <w:r w:rsidR="001538EF" w:rsidRPr="005767EF">
        <w:rPr>
          <w:rFonts w:asciiTheme="minorHAnsi" w:hAnsiTheme="minorHAnsi" w:cs="Times New Roman"/>
          <w:color w:val="000000" w:themeColor="text1"/>
          <w:sz w:val="20"/>
          <w:szCs w:val="20"/>
        </w:rPr>
        <w:t xml:space="preserve"> i člana 2 stav 3 Pravilnika o odobravanju garancija ( </w:t>
      </w:r>
      <w:r w:rsidR="001538EF" w:rsidRPr="005767EF">
        <w:rPr>
          <w:rFonts w:asciiTheme="minorHAnsi" w:hAnsiTheme="minorHAnsi" w:cs="Times New Roman"/>
          <w:noProof/>
          <w:sz w:val="20"/>
          <w:szCs w:val="20"/>
        </w:rPr>
        <w:t xml:space="preserve"> „Službeni glasnik Republike Srpske“, broj 14/21) je  </w:t>
      </w:r>
      <w:r w:rsidR="001538EF" w:rsidRPr="005767EF">
        <w:rPr>
          <w:rFonts w:asciiTheme="minorHAnsi" w:hAnsiTheme="minorHAnsi" w:cs="Times New Roman"/>
          <w:color w:val="auto"/>
          <w:sz w:val="20"/>
          <w:szCs w:val="20"/>
        </w:rPr>
        <w:t xml:space="preserve"> definisano da Garantni fond može, pored garantovanja konkretne finansijske obaveze preduzetnika, izdavati garancije za obezbjeđenje dijela obaveza iz portfelja kredita,  ugovorenih između preduzetnika i banke ili druge finansijske organizacije uz garantovanje kreditnog rizika do 25% izloženosti riziku na nivou portfelja. </w:t>
      </w:r>
    </w:p>
    <w:p w14:paraId="49AD3D5A" w14:textId="77777777" w:rsidR="00A13C00" w:rsidRDefault="00A13C00" w:rsidP="001538EF">
      <w:pPr>
        <w:pStyle w:val="Default"/>
        <w:jc w:val="both"/>
        <w:rPr>
          <w:rFonts w:asciiTheme="minorHAnsi" w:hAnsiTheme="minorHAnsi" w:cs="Times New Roman"/>
          <w:color w:val="auto"/>
          <w:sz w:val="20"/>
          <w:szCs w:val="20"/>
          <w:lang w:val="sr-Cyrl-BA"/>
        </w:rPr>
      </w:pPr>
    </w:p>
    <w:p w14:paraId="161792F2" w14:textId="77777777" w:rsidR="001538EF" w:rsidRDefault="004B13E7"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Garantni fond Republike Srpske je do kraja 2023. godine potpisao ugovore o garantovanju kreditnog portfolija sa 4 finansijska posrednika: PROCREDIT BANK d.d. Sarajevo, UNICREDIT BANK a.d. Banja Luka, MF BANKA a.d. Banja Luka i SPARKASSE BANK d.d. Bosna i Hercegovina. Sa SPARKASSE bankom potpisan samo ugovor o garantovanju opšteg kreditnog portfelja, dok je sa ostalim bankama, pored opšteg portfelja, potpisan i ugovor o garantovanju portfelja kredita koji se odnose na ulaganja u obnovljive izvore energije i energetsku efikasnost. U nastavku se daje pregled realizovanih aktivnosti u 2023. godini po ovom osnovu:</w:t>
      </w:r>
    </w:p>
    <w:p w14:paraId="216CFAF3" w14:textId="77777777" w:rsidR="00036827" w:rsidRPr="00A13C00" w:rsidRDefault="00036827" w:rsidP="001538EF">
      <w:pPr>
        <w:pStyle w:val="Default"/>
        <w:jc w:val="both"/>
        <w:rPr>
          <w:rFonts w:asciiTheme="minorHAnsi" w:hAnsiTheme="minorHAnsi" w:cs="Times New Roman"/>
          <w:color w:val="auto"/>
          <w:sz w:val="20"/>
          <w:szCs w:val="20"/>
          <w:lang w:val="sr-Cyrl-RS"/>
        </w:rPr>
      </w:pPr>
    </w:p>
    <w:p w14:paraId="6CE3F61F" w14:textId="77777777" w:rsidR="001538EF" w:rsidRPr="00C779CA" w:rsidRDefault="001538EF" w:rsidP="00C779CA">
      <w:pPr>
        <w:pStyle w:val="Default"/>
        <w:jc w:val="center"/>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eastAsia="sr-Latn-RS"/>
        </w:rPr>
        <w:t>Pregled izdanih garancija u okviru kreditnog portfelja po finansijskim posrednicima u periodu 01.01.2023. - 31.12.2023. godine</w:t>
      </w:r>
    </w:p>
    <w:p w14:paraId="0065E5CC" w14:textId="77777777" w:rsidR="001538EF" w:rsidRPr="00854960" w:rsidRDefault="001538EF" w:rsidP="00961BDD">
      <w:pPr>
        <w:pStyle w:val="Default"/>
        <w:ind w:left="1416" w:hanging="1416"/>
        <w:jc w:val="both"/>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eastAsia="sr-Latn-RS"/>
        </w:rPr>
        <w:tab/>
      </w:r>
      <w:r w:rsidRPr="005767EF">
        <w:rPr>
          <w:rFonts w:asciiTheme="minorHAnsi" w:hAnsiTheme="minorHAnsi" w:cs="Times New Roman"/>
          <w:b/>
          <w:bCs/>
          <w:sz w:val="20"/>
          <w:szCs w:val="20"/>
          <w:lang w:eastAsia="sr-Latn-RS"/>
        </w:rPr>
        <w:tab/>
      </w:r>
      <w:r w:rsidRPr="005767EF">
        <w:rPr>
          <w:rFonts w:asciiTheme="minorHAnsi" w:hAnsiTheme="minorHAnsi" w:cs="Times New Roman"/>
          <w:b/>
          <w:bCs/>
          <w:sz w:val="20"/>
          <w:szCs w:val="20"/>
          <w:lang w:eastAsia="sr-Latn-RS"/>
        </w:rPr>
        <w:tab/>
      </w:r>
      <w:r w:rsidRPr="005767EF">
        <w:rPr>
          <w:rFonts w:asciiTheme="minorHAnsi" w:hAnsiTheme="minorHAnsi" w:cs="Times New Roman"/>
          <w:b/>
          <w:bCs/>
          <w:sz w:val="20"/>
          <w:szCs w:val="20"/>
          <w:lang w:eastAsia="sr-Latn-RS"/>
        </w:rPr>
        <w:tab/>
      </w:r>
      <w:r w:rsidRPr="005767EF">
        <w:rPr>
          <w:rFonts w:asciiTheme="minorHAnsi" w:hAnsiTheme="minorHAnsi" w:cs="Times New Roman"/>
          <w:b/>
          <w:bCs/>
          <w:sz w:val="20"/>
          <w:szCs w:val="20"/>
          <w:lang w:eastAsia="sr-Latn-RS"/>
        </w:rPr>
        <w:tab/>
      </w:r>
      <w:r w:rsidRPr="005767EF">
        <w:rPr>
          <w:rFonts w:asciiTheme="minorHAnsi" w:hAnsiTheme="minorHAnsi" w:cs="Times New Roman"/>
          <w:b/>
          <w:bCs/>
          <w:sz w:val="20"/>
          <w:szCs w:val="20"/>
          <w:lang w:eastAsia="sr-Latn-RS"/>
        </w:rPr>
        <w:tab/>
      </w:r>
      <w:r w:rsidRPr="005767EF">
        <w:rPr>
          <w:rFonts w:asciiTheme="minorHAnsi" w:hAnsiTheme="minorHAnsi" w:cs="Times New Roman"/>
          <w:b/>
          <w:bCs/>
          <w:sz w:val="20"/>
          <w:szCs w:val="20"/>
          <w:lang w:eastAsia="sr-Latn-RS"/>
        </w:rPr>
        <w:tab/>
      </w:r>
      <w:r w:rsidRPr="005767EF">
        <w:rPr>
          <w:rFonts w:asciiTheme="minorHAnsi" w:hAnsiTheme="minorHAnsi" w:cs="Times New Roman"/>
          <w:b/>
          <w:bCs/>
          <w:sz w:val="20"/>
          <w:szCs w:val="20"/>
          <w:lang w:eastAsia="sr-Latn-RS"/>
        </w:rPr>
        <w:tab/>
        <w:t xml:space="preserve">                                   Tabela 9</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417"/>
        <w:gridCol w:w="851"/>
        <w:gridCol w:w="1275"/>
        <w:gridCol w:w="1276"/>
        <w:gridCol w:w="1276"/>
      </w:tblGrid>
      <w:tr w:rsidR="00961BDD" w:rsidRPr="008307BD" w14:paraId="04B01B6E" w14:textId="77777777" w:rsidTr="00961BDD">
        <w:trPr>
          <w:trHeight w:val="552"/>
        </w:trPr>
        <w:tc>
          <w:tcPr>
            <w:tcW w:w="1271" w:type="dxa"/>
            <w:shd w:val="clear" w:color="auto" w:fill="548DD4" w:themeFill="text2" w:themeFillTint="99"/>
            <w:vAlign w:val="center"/>
            <w:hideMark/>
          </w:tcPr>
          <w:p w14:paraId="602D7130" w14:textId="77777777" w:rsidR="008307BD" w:rsidRPr="00961BDD" w:rsidRDefault="008307BD" w:rsidP="001538EF">
            <w:pPr>
              <w:jc w:val="center"/>
              <w:rPr>
                <w:rFonts w:asciiTheme="minorHAnsi" w:hAnsiTheme="minorHAnsi"/>
                <w:b/>
                <w:sz w:val="16"/>
                <w:szCs w:val="16"/>
                <w:lang w:val="sr-Latn-RS" w:eastAsia="sr-Latn-RS"/>
              </w:rPr>
            </w:pPr>
            <w:r w:rsidRPr="00961BDD">
              <w:rPr>
                <w:rFonts w:asciiTheme="minorHAnsi" w:hAnsiTheme="minorHAnsi"/>
                <w:b/>
                <w:sz w:val="16"/>
                <w:szCs w:val="16"/>
                <w:lang w:eastAsia="sr-Latn-RS"/>
              </w:rPr>
              <w:t>Finansijski posrednik</w:t>
            </w:r>
          </w:p>
        </w:tc>
        <w:tc>
          <w:tcPr>
            <w:tcW w:w="1418" w:type="dxa"/>
            <w:shd w:val="clear" w:color="auto" w:fill="548DD4" w:themeFill="text2" w:themeFillTint="99"/>
          </w:tcPr>
          <w:p w14:paraId="4A5C337A" w14:textId="77777777" w:rsidR="008307BD" w:rsidRPr="00961BDD" w:rsidRDefault="008307BD" w:rsidP="001538EF">
            <w:pPr>
              <w:jc w:val="center"/>
              <w:rPr>
                <w:rFonts w:asciiTheme="minorHAnsi" w:hAnsiTheme="minorHAnsi"/>
                <w:b/>
                <w:sz w:val="16"/>
                <w:szCs w:val="16"/>
                <w:lang w:val="sr-Cyrl-RS" w:eastAsia="sr-Latn-RS"/>
              </w:rPr>
            </w:pPr>
          </w:p>
          <w:p w14:paraId="4E2FACE8" w14:textId="77777777" w:rsidR="008307BD" w:rsidRPr="00961BDD" w:rsidRDefault="008307BD" w:rsidP="001538EF">
            <w:pPr>
              <w:jc w:val="center"/>
              <w:rPr>
                <w:rFonts w:asciiTheme="minorHAnsi" w:hAnsiTheme="minorHAnsi"/>
                <w:b/>
                <w:sz w:val="16"/>
                <w:szCs w:val="16"/>
                <w:lang w:val="sr-Cyrl-RS" w:eastAsia="sr-Latn-RS"/>
              </w:rPr>
            </w:pPr>
          </w:p>
          <w:p w14:paraId="1609151A" w14:textId="4DD27346" w:rsidR="008307BD" w:rsidRPr="00961BDD" w:rsidRDefault="00035CFF" w:rsidP="001538EF">
            <w:pPr>
              <w:jc w:val="center"/>
              <w:rPr>
                <w:rFonts w:asciiTheme="minorHAnsi" w:hAnsiTheme="minorHAnsi"/>
                <w:b/>
                <w:sz w:val="16"/>
                <w:szCs w:val="16"/>
                <w:lang w:val="sr-Cyrl-RS" w:eastAsia="sr-Latn-RS"/>
              </w:rPr>
            </w:pPr>
            <w:r>
              <w:rPr>
                <w:rFonts w:asciiTheme="minorHAnsi" w:hAnsiTheme="minorHAnsi"/>
                <w:b/>
                <w:sz w:val="16"/>
                <w:szCs w:val="16"/>
                <w:lang w:eastAsia="sr-Latn-RS"/>
              </w:rPr>
              <w:t>Portfelj</w:t>
            </w:r>
          </w:p>
        </w:tc>
        <w:tc>
          <w:tcPr>
            <w:tcW w:w="1417" w:type="dxa"/>
            <w:shd w:val="clear" w:color="auto" w:fill="548DD4" w:themeFill="text2" w:themeFillTint="99"/>
          </w:tcPr>
          <w:p w14:paraId="757B5198" w14:textId="77777777" w:rsidR="008307BD" w:rsidRPr="00961BDD" w:rsidRDefault="008307BD" w:rsidP="001538EF">
            <w:pPr>
              <w:jc w:val="center"/>
              <w:rPr>
                <w:rFonts w:asciiTheme="minorHAnsi" w:hAnsiTheme="minorHAnsi"/>
                <w:b/>
                <w:sz w:val="16"/>
                <w:szCs w:val="16"/>
                <w:lang w:val="sr-Cyrl-RS" w:eastAsia="sr-Latn-RS"/>
              </w:rPr>
            </w:pPr>
          </w:p>
          <w:p w14:paraId="16F63B8B" w14:textId="77777777" w:rsidR="008307BD" w:rsidRPr="00961BDD" w:rsidRDefault="008307BD" w:rsidP="001538EF">
            <w:pPr>
              <w:jc w:val="center"/>
              <w:rPr>
                <w:rFonts w:asciiTheme="minorHAnsi" w:hAnsiTheme="minorHAnsi"/>
                <w:b/>
                <w:sz w:val="16"/>
                <w:szCs w:val="16"/>
                <w:lang w:val="sr-Cyrl-RS" w:eastAsia="sr-Latn-RS"/>
              </w:rPr>
            </w:pPr>
            <w:r w:rsidRPr="00961BDD">
              <w:rPr>
                <w:rFonts w:asciiTheme="minorHAnsi" w:hAnsiTheme="minorHAnsi"/>
                <w:b/>
                <w:sz w:val="16"/>
                <w:szCs w:val="16"/>
                <w:lang w:eastAsia="sr-Latn-RS"/>
              </w:rPr>
              <w:t>Ugovoreni obim kreditnog portfelja ( KM)</w:t>
            </w:r>
          </w:p>
        </w:tc>
        <w:tc>
          <w:tcPr>
            <w:tcW w:w="851" w:type="dxa"/>
            <w:shd w:val="clear" w:color="auto" w:fill="548DD4" w:themeFill="text2" w:themeFillTint="99"/>
            <w:vAlign w:val="center"/>
          </w:tcPr>
          <w:p w14:paraId="7F56F8C4" w14:textId="589D0547" w:rsidR="008307BD" w:rsidRPr="00961BDD" w:rsidRDefault="008307BD" w:rsidP="00961BDD">
            <w:pPr>
              <w:ind w:right="-108"/>
              <w:jc w:val="center"/>
              <w:rPr>
                <w:rFonts w:asciiTheme="minorHAnsi" w:hAnsiTheme="minorHAnsi"/>
                <w:b/>
                <w:sz w:val="16"/>
                <w:szCs w:val="16"/>
                <w:lang w:val="sr-Latn-RS" w:eastAsia="sr-Latn-RS"/>
              </w:rPr>
            </w:pPr>
            <w:r w:rsidRPr="00961BDD">
              <w:rPr>
                <w:rFonts w:asciiTheme="minorHAnsi" w:hAnsiTheme="minorHAnsi"/>
                <w:b/>
                <w:sz w:val="16"/>
                <w:szCs w:val="16"/>
                <w:lang w:eastAsia="sr-Latn-RS"/>
              </w:rPr>
              <w:t xml:space="preserve">Broj </w:t>
            </w:r>
            <w:r w:rsidR="00035CFF">
              <w:rPr>
                <w:rFonts w:asciiTheme="minorHAnsi" w:hAnsiTheme="minorHAnsi"/>
                <w:b/>
                <w:sz w:val="16"/>
                <w:szCs w:val="16"/>
                <w:lang w:eastAsia="sr-Latn-RS"/>
              </w:rPr>
              <w:t>kredita</w:t>
            </w:r>
          </w:p>
        </w:tc>
        <w:tc>
          <w:tcPr>
            <w:tcW w:w="1275" w:type="dxa"/>
            <w:shd w:val="clear" w:color="auto" w:fill="548DD4" w:themeFill="text2" w:themeFillTint="99"/>
            <w:vAlign w:val="center"/>
            <w:hideMark/>
          </w:tcPr>
          <w:p w14:paraId="46927D06" w14:textId="77777777" w:rsidR="008307BD" w:rsidRPr="00961BDD" w:rsidRDefault="008307BD" w:rsidP="001538EF">
            <w:pPr>
              <w:jc w:val="center"/>
              <w:rPr>
                <w:rFonts w:asciiTheme="minorHAnsi" w:hAnsiTheme="minorHAnsi"/>
                <w:b/>
                <w:sz w:val="16"/>
                <w:szCs w:val="16"/>
                <w:lang w:val="sr-Latn-RS" w:eastAsia="sr-Latn-RS"/>
              </w:rPr>
            </w:pPr>
            <w:r w:rsidRPr="00961BDD">
              <w:rPr>
                <w:rFonts w:asciiTheme="minorHAnsi" w:hAnsiTheme="minorHAnsi"/>
                <w:b/>
                <w:sz w:val="16"/>
                <w:szCs w:val="16"/>
                <w:lang w:eastAsia="sr-Latn-RS"/>
              </w:rPr>
              <w:t>Iznos kredita</w:t>
            </w:r>
          </w:p>
        </w:tc>
        <w:tc>
          <w:tcPr>
            <w:tcW w:w="1276" w:type="dxa"/>
            <w:shd w:val="clear" w:color="auto" w:fill="548DD4" w:themeFill="text2" w:themeFillTint="99"/>
            <w:vAlign w:val="center"/>
            <w:hideMark/>
          </w:tcPr>
          <w:p w14:paraId="7CD338E6" w14:textId="77777777" w:rsidR="008307BD" w:rsidRPr="00961BDD" w:rsidRDefault="008307BD" w:rsidP="001538EF">
            <w:pPr>
              <w:jc w:val="center"/>
              <w:rPr>
                <w:rFonts w:asciiTheme="minorHAnsi" w:hAnsiTheme="minorHAnsi"/>
                <w:b/>
                <w:sz w:val="16"/>
                <w:szCs w:val="16"/>
                <w:lang w:val="sr-Latn-RS" w:eastAsia="sr-Latn-RS"/>
              </w:rPr>
            </w:pPr>
            <w:r w:rsidRPr="00961BDD">
              <w:rPr>
                <w:rFonts w:asciiTheme="minorHAnsi" w:hAnsiTheme="minorHAnsi"/>
                <w:b/>
                <w:sz w:val="16"/>
                <w:szCs w:val="16"/>
                <w:lang w:eastAsia="sr-Latn-RS"/>
              </w:rPr>
              <w:t>Iznos garancije</w:t>
            </w:r>
          </w:p>
        </w:tc>
        <w:tc>
          <w:tcPr>
            <w:tcW w:w="1276" w:type="dxa"/>
            <w:shd w:val="clear" w:color="auto" w:fill="548DD4" w:themeFill="text2" w:themeFillTint="99"/>
          </w:tcPr>
          <w:p w14:paraId="4E3ADB12" w14:textId="77777777" w:rsidR="008307BD" w:rsidRPr="00961BDD" w:rsidRDefault="008307BD" w:rsidP="001538EF">
            <w:pPr>
              <w:jc w:val="center"/>
              <w:rPr>
                <w:rFonts w:asciiTheme="minorHAnsi" w:hAnsiTheme="minorHAnsi"/>
                <w:b/>
                <w:sz w:val="16"/>
                <w:szCs w:val="16"/>
                <w:lang w:val="sr-Cyrl-RS" w:eastAsia="sr-Latn-RS"/>
              </w:rPr>
            </w:pPr>
          </w:p>
          <w:p w14:paraId="42F323C5" w14:textId="77777777" w:rsidR="008307BD" w:rsidRPr="00961BDD" w:rsidRDefault="008307BD" w:rsidP="001163A8">
            <w:pPr>
              <w:jc w:val="center"/>
              <w:rPr>
                <w:rFonts w:asciiTheme="minorHAnsi" w:hAnsiTheme="minorHAnsi"/>
                <w:b/>
                <w:sz w:val="16"/>
                <w:szCs w:val="16"/>
                <w:lang w:val="sr-Cyrl-RS" w:eastAsia="sr-Latn-RS"/>
              </w:rPr>
            </w:pPr>
            <w:r w:rsidRPr="00961BDD">
              <w:rPr>
                <w:rFonts w:asciiTheme="minorHAnsi" w:hAnsiTheme="minorHAnsi"/>
                <w:b/>
                <w:sz w:val="16"/>
                <w:szCs w:val="16"/>
                <w:lang w:eastAsia="sr-Latn-RS"/>
              </w:rPr>
              <w:t>Učešće u plasiranim garancijama</w:t>
            </w:r>
          </w:p>
        </w:tc>
      </w:tr>
      <w:tr w:rsidR="00961BDD" w:rsidRPr="008307BD" w14:paraId="3628C05C" w14:textId="77777777" w:rsidTr="00961BDD">
        <w:trPr>
          <w:trHeight w:val="219"/>
        </w:trPr>
        <w:tc>
          <w:tcPr>
            <w:tcW w:w="1271" w:type="dxa"/>
            <w:vMerge w:val="restart"/>
            <w:shd w:val="clear" w:color="auto" w:fill="auto"/>
            <w:vAlign w:val="center"/>
            <w:hideMark/>
          </w:tcPr>
          <w:p w14:paraId="7318FCC9" w14:textId="77777777" w:rsidR="008307BD" w:rsidRPr="00961BDD" w:rsidRDefault="008307BD" w:rsidP="001538EF">
            <w:pPr>
              <w:jc w:val="left"/>
              <w:rPr>
                <w:rFonts w:asciiTheme="minorHAnsi" w:hAnsiTheme="minorHAnsi"/>
                <w:caps/>
                <w:sz w:val="16"/>
                <w:szCs w:val="16"/>
                <w:lang w:val="sr-Latn-RS" w:eastAsia="sr-Latn-RS"/>
              </w:rPr>
            </w:pPr>
            <w:r w:rsidRPr="00961BDD">
              <w:rPr>
                <w:rFonts w:asciiTheme="minorHAnsi" w:hAnsiTheme="minorHAnsi"/>
                <w:caps/>
                <w:sz w:val="16"/>
                <w:szCs w:val="16"/>
                <w:lang w:eastAsia="sr-Latn-RS"/>
              </w:rPr>
              <w:t>Procredit bank d.d. Sarajevo</w:t>
            </w:r>
          </w:p>
        </w:tc>
        <w:tc>
          <w:tcPr>
            <w:tcW w:w="1418" w:type="dxa"/>
            <w:vAlign w:val="center"/>
          </w:tcPr>
          <w:p w14:paraId="20A6A335" w14:textId="77777777" w:rsidR="008307BD" w:rsidRPr="00961BDD" w:rsidRDefault="008307BD" w:rsidP="008307BD">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Opšti portfelj</w:t>
            </w:r>
          </w:p>
        </w:tc>
        <w:tc>
          <w:tcPr>
            <w:tcW w:w="1417" w:type="dxa"/>
            <w:vAlign w:val="center"/>
          </w:tcPr>
          <w:p w14:paraId="33CFE938" w14:textId="77777777" w:rsidR="008307BD" w:rsidRPr="00961BDD" w:rsidRDefault="008307B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eastAsia="sr-Latn-RS"/>
              </w:rPr>
              <w:t>40.000.000,00</w:t>
            </w:r>
          </w:p>
        </w:tc>
        <w:tc>
          <w:tcPr>
            <w:tcW w:w="851" w:type="dxa"/>
            <w:vAlign w:val="center"/>
          </w:tcPr>
          <w:p w14:paraId="4A32CF54" w14:textId="77777777" w:rsidR="008307BD" w:rsidRPr="00961BDD" w:rsidRDefault="00A522F7" w:rsidP="00961BDD">
            <w:pPr>
              <w:jc w:val="center"/>
              <w:rPr>
                <w:rFonts w:asciiTheme="minorHAnsi" w:hAnsiTheme="minorHAnsi"/>
                <w:sz w:val="16"/>
                <w:szCs w:val="16"/>
                <w:lang w:val="sr-Cyrl-RS" w:eastAsia="sr-Latn-RS"/>
              </w:rPr>
            </w:pPr>
            <w:r>
              <w:rPr>
                <w:rFonts w:asciiTheme="minorHAnsi" w:hAnsiTheme="minorHAnsi"/>
                <w:sz w:val="16"/>
                <w:szCs w:val="16"/>
                <w:lang w:eastAsia="sr-Latn-RS"/>
              </w:rPr>
              <w:t>85</w:t>
            </w:r>
          </w:p>
        </w:tc>
        <w:tc>
          <w:tcPr>
            <w:tcW w:w="1275" w:type="dxa"/>
            <w:shd w:val="clear" w:color="auto" w:fill="auto"/>
            <w:vAlign w:val="center"/>
            <w:hideMark/>
          </w:tcPr>
          <w:p w14:paraId="1A489605" w14:textId="77777777" w:rsidR="008307BD" w:rsidRPr="00961BDD" w:rsidRDefault="008307BD" w:rsidP="001538EF">
            <w:pPr>
              <w:jc w:val="right"/>
              <w:rPr>
                <w:rFonts w:asciiTheme="minorHAnsi" w:hAnsiTheme="minorHAnsi"/>
                <w:sz w:val="16"/>
                <w:szCs w:val="16"/>
                <w:lang w:val="sr-Cyrl-RS" w:eastAsia="sr-Latn-RS"/>
              </w:rPr>
            </w:pPr>
            <w:r w:rsidRPr="00961BDD">
              <w:rPr>
                <w:rFonts w:asciiTheme="minorHAnsi" w:hAnsiTheme="minorHAnsi"/>
                <w:sz w:val="16"/>
                <w:szCs w:val="16"/>
                <w:lang w:eastAsia="sr-Latn-RS"/>
              </w:rPr>
              <w:t>22.059.000,01</w:t>
            </w:r>
          </w:p>
        </w:tc>
        <w:tc>
          <w:tcPr>
            <w:tcW w:w="1276" w:type="dxa"/>
            <w:shd w:val="clear" w:color="auto" w:fill="auto"/>
            <w:vAlign w:val="center"/>
            <w:hideMark/>
          </w:tcPr>
          <w:p w14:paraId="6DB002BF" w14:textId="77777777" w:rsidR="008307BD" w:rsidRPr="00CC181D" w:rsidRDefault="008307BD" w:rsidP="001163A8">
            <w:pPr>
              <w:jc w:val="right"/>
              <w:rPr>
                <w:rFonts w:asciiTheme="minorHAnsi" w:hAnsiTheme="minorHAnsi"/>
                <w:sz w:val="16"/>
                <w:szCs w:val="16"/>
                <w:lang w:eastAsia="sr-Latn-RS"/>
              </w:rPr>
            </w:pPr>
            <w:r w:rsidRPr="00961BDD">
              <w:rPr>
                <w:rFonts w:asciiTheme="minorHAnsi" w:hAnsiTheme="minorHAnsi"/>
                <w:sz w:val="16"/>
                <w:szCs w:val="16"/>
                <w:lang w:eastAsia="sr-Latn-RS"/>
              </w:rPr>
              <w:t>11.029.500,01</w:t>
            </w:r>
          </w:p>
        </w:tc>
        <w:tc>
          <w:tcPr>
            <w:tcW w:w="1276" w:type="dxa"/>
            <w:vAlign w:val="center"/>
          </w:tcPr>
          <w:p w14:paraId="14665DCA" w14:textId="77777777" w:rsidR="008307BD" w:rsidRPr="00961BDD" w:rsidRDefault="00C779CA" w:rsidP="001163A8">
            <w:pPr>
              <w:jc w:val="center"/>
              <w:rPr>
                <w:rFonts w:asciiTheme="minorHAnsi" w:hAnsiTheme="minorHAnsi"/>
                <w:sz w:val="16"/>
                <w:szCs w:val="16"/>
                <w:lang w:val="sr-Cyrl-RS" w:eastAsia="sr-Latn-RS"/>
              </w:rPr>
            </w:pPr>
            <w:r>
              <w:rPr>
                <w:rFonts w:asciiTheme="minorHAnsi" w:hAnsiTheme="minorHAnsi"/>
                <w:sz w:val="16"/>
                <w:szCs w:val="16"/>
                <w:lang w:eastAsia="sr-Latn-RS"/>
              </w:rPr>
              <w:t>74,12%</w:t>
            </w:r>
          </w:p>
        </w:tc>
      </w:tr>
      <w:tr w:rsidR="00961BDD" w:rsidRPr="008307BD" w14:paraId="06EAD434" w14:textId="77777777" w:rsidTr="00961BDD">
        <w:trPr>
          <w:trHeight w:val="219"/>
        </w:trPr>
        <w:tc>
          <w:tcPr>
            <w:tcW w:w="1271" w:type="dxa"/>
            <w:vMerge/>
            <w:shd w:val="clear" w:color="auto" w:fill="auto"/>
            <w:vAlign w:val="center"/>
          </w:tcPr>
          <w:p w14:paraId="5468692E" w14:textId="77777777" w:rsidR="008307BD" w:rsidRPr="00961BDD" w:rsidRDefault="008307BD" w:rsidP="001538EF">
            <w:pPr>
              <w:jc w:val="left"/>
              <w:rPr>
                <w:rFonts w:asciiTheme="minorHAnsi" w:hAnsiTheme="minorHAnsi"/>
                <w:caps/>
                <w:sz w:val="16"/>
                <w:szCs w:val="16"/>
                <w:lang w:val="sr-Latn-RS" w:eastAsia="sr-Latn-RS"/>
              </w:rPr>
            </w:pPr>
          </w:p>
        </w:tc>
        <w:tc>
          <w:tcPr>
            <w:tcW w:w="1418" w:type="dxa"/>
            <w:vAlign w:val="center"/>
          </w:tcPr>
          <w:p w14:paraId="4497E8CC" w14:textId="77777777" w:rsidR="008307BD" w:rsidRPr="00961BDD" w:rsidRDefault="008307BD" w:rsidP="008307BD">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Portfelj za obnovljive izvore energije</w:t>
            </w:r>
          </w:p>
        </w:tc>
        <w:tc>
          <w:tcPr>
            <w:tcW w:w="1417" w:type="dxa"/>
            <w:vAlign w:val="center"/>
          </w:tcPr>
          <w:p w14:paraId="12CAA0D8" w14:textId="77777777" w:rsidR="008307BD" w:rsidRPr="00961BDD" w:rsidRDefault="008307B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eastAsia="sr-Latn-RS"/>
              </w:rPr>
              <w:t>20.000.000,00</w:t>
            </w:r>
          </w:p>
        </w:tc>
        <w:tc>
          <w:tcPr>
            <w:tcW w:w="851" w:type="dxa"/>
            <w:vAlign w:val="center"/>
          </w:tcPr>
          <w:p w14:paraId="028943EE" w14:textId="77777777" w:rsidR="008307BD" w:rsidRPr="00961BDD" w:rsidRDefault="00961BDD" w:rsidP="0066469A">
            <w:pPr>
              <w:jc w:val="center"/>
              <w:rPr>
                <w:rFonts w:asciiTheme="minorHAnsi" w:hAnsiTheme="minorHAnsi"/>
                <w:sz w:val="16"/>
                <w:szCs w:val="16"/>
                <w:lang w:val="sr-Cyrl-RS" w:eastAsia="sr-Latn-RS"/>
              </w:rPr>
            </w:pPr>
            <w:r>
              <w:rPr>
                <w:rFonts w:asciiTheme="minorHAnsi" w:hAnsiTheme="minorHAnsi"/>
                <w:sz w:val="16"/>
                <w:szCs w:val="16"/>
                <w:lang w:eastAsia="sr-Latn-RS"/>
              </w:rPr>
              <w:t>6</w:t>
            </w:r>
          </w:p>
        </w:tc>
        <w:tc>
          <w:tcPr>
            <w:tcW w:w="1275" w:type="dxa"/>
            <w:shd w:val="clear" w:color="auto" w:fill="auto"/>
            <w:vAlign w:val="center"/>
          </w:tcPr>
          <w:p w14:paraId="66FFC38C" w14:textId="77777777" w:rsidR="008307B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eastAsia="sr-Latn-RS"/>
              </w:rPr>
              <w:t>3.175.000,02</w:t>
            </w:r>
          </w:p>
        </w:tc>
        <w:tc>
          <w:tcPr>
            <w:tcW w:w="1276" w:type="dxa"/>
            <w:shd w:val="clear" w:color="auto" w:fill="auto"/>
            <w:vAlign w:val="center"/>
          </w:tcPr>
          <w:p w14:paraId="7CFDB3A4" w14:textId="77777777" w:rsidR="008307BD" w:rsidRPr="00961BDD" w:rsidRDefault="00A522F7" w:rsidP="001163A8">
            <w:pPr>
              <w:jc w:val="right"/>
              <w:rPr>
                <w:rFonts w:asciiTheme="minorHAnsi" w:hAnsiTheme="minorHAnsi"/>
                <w:sz w:val="16"/>
                <w:szCs w:val="16"/>
                <w:lang w:val="sr-Cyrl-RS" w:eastAsia="sr-Latn-RS"/>
              </w:rPr>
            </w:pPr>
            <w:r>
              <w:rPr>
                <w:rFonts w:asciiTheme="minorHAnsi" w:hAnsiTheme="minorHAnsi"/>
                <w:sz w:val="16"/>
                <w:szCs w:val="16"/>
                <w:lang w:eastAsia="sr-Latn-RS"/>
              </w:rPr>
              <w:t>1.587.500,01</w:t>
            </w:r>
          </w:p>
        </w:tc>
        <w:tc>
          <w:tcPr>
            <w:tcW w:w="1276" w:type="dxa"/>
            <w:vAlign w:val="center"/>
          </w:tcPr>
          <w:p w14:paraId="2BE18CFF" w14:textId="77777777" w:rsidR="008307BD" w:rsidRPr="00961BDD" w:rsidRDefault="00A522F7" w:rsidP="001163A8">
            <w:pPr>
              <w:jc w:val="center"/>
              <w:rPr>
                <w:rFonts w:asciiTheme="minorHAnsi" w:hAnsiTheme="minorHAnsi"/>
                <w:sz w:val="16"/>
                <w:szCs w:val="16"/>
                <w:lang w:val="sr-Cyrl-RS" w:eastAsia="sr-Latn-RS"/>
              </w:rPr>
            </w:pPr>
            <w:r>
              <w:rPr>
                <w:rFonts w:asciiTheme="minorHAnsi" w:hAnsiTheme="minorHAnsi"/>
                <w:sz w:val="16"/>
                <w:szCs w:val="16"/>
                <w:lang w:eastAsia="sr-Latn-RS"/>
              </w:rPr>
              <w:t>10,67%</w:t>
            </w:r>
          </w:p>
        </w:tc>
      </w:tr>
      <w:tr w:rsidR="008307BD" w:rsidRPr="008307BD" w14:paraId="298BEFCB" w14:textId="77777777" w:rsidTr="00961BDD">
        <w:trPr>
          <w:trHeight w:val="219"/>
        </w:trPr>
        <w:tc>
          <w:tcPr>
            <w:tcW w:w="2689" w:type="dxa"/>
            <w:gridSpan w:val="2"/>
            <w:shd w:val="clear" w:color="auto" w:fill="C6D9F1" w:themeFill="text2" w:themeFillTint="33"/>
            <w:vAlign w:val="center"/>
          </w:tcPr>
          <w:p w14:paraId="79DB7FE4" w14:textId="77777777" w:rsidR="008307BD" w:rsidRPr="00A522F7" w:rsidRDefault="00961BDD" w:rsidP="008307BD">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 xml:space="preserve">УКУПНО </w:t>
            </w:r>
          </w:p>
        </w:tc>
        <w:tc>
          <w:tcPr>
            <w:tcW w:w="1417" w:type="dxa"/>
            <w:shd w:val="clear" w:color="auto" w:fill="C6D9F1" w:themeFill="text2" w:themeFillTint="33"/>
            <w:vAlign w:val="center"/>
          </w:tcPr>
          <w:p w14:paraId="74C64616" w14:textId="77777777" w:rsidR="008307BD" w:rsidRPr="00A522F7" w:rsidRDefault="00961BDD" w:rsidP="00961BDD">
            <w:pPr>
              <w:ind w:left="-108" w:right="-103"/>
              <w:jc w:val="right"/>
              <w:rPr>
                <w:rFonts w:asciiTheme="minorHAnsi" w:hAnsiTheme="minorHAnsi"/>
                <w:b/>
                <w:sz w:val="16"/>
                <w:szCs w:val="16"/>
                <w:lang w:val="sr-Cyrl-RS" w:eastAsia="sr-Latn-RS"/>
              </w:rPr>
            </w:pPr>
            <w:r w:rsidRPr="00A522F7">
              <w:rPr>
                <w:rFonts w:asciiTheme="minorHAnsi" w:hAnsiTheme="minorHAnsi"/>
                <w:b/>
                <w:sz w:val="16"/>
                <w:szCs w:val="16"/>
                <w:lang w:eastAsia="sr-Latn-RS"/>
              </w:rPr>
              <w:t>60.000.000,00</w:t>
            </w:r>
          </w:p>
        </w:tc>
        <w:tc>
          <w:tcPr>
            <w:tcW w:w="851" w:type="dxa"/>
            <w:shd w:val="clear" w:color="auto" w:fill="C6D9F1" w:themeFill="text2" w:themeFillTint="33"/>
            <w:vAlign w:val="center"/>
          </w:tcPr>
          <w:p w14:paraId="757BA85C" w14:textId="77777777" w:rsidR="008307BD" w:rsidRPr="00A522F7" w:rsidRDefault="00A522F7" w:rsidP="0066469A">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91</w:t>
            </w:r>
          </w:p>
        </w:tc>
        <w:tc>
          <w:tcPr>
            <w:tcW w:w="1275" w:type="dxa"/>
            <w:shd w:val="clear" w:color="auto" w:fill="C6D9F1" w:themeFill="text2" w:themeFillTint="33"/>
            <w:vAlign w:val="center"/>
          </w:tcPr>
          <w:p w14:paraId="23F6C0B1" w14:textId="77777777" w:rsidR="008307BD" w:rsidRPr="00A522F7" w:rsidRDefault="00A522F7" w:rsidP="001538EF">
            <w:pPr>
              <w:jc w:val="right"/>
              <w:rPr>
                <w:rFonts w:asciiTheme="minorHAnsi" w:hAnsiTheme="minorHAnsi"/>
                <w:b/>
                <w:sz w:val="16"/>
                <w:szCs w:val="16"/>
                <w:lang w:val="sr-Cyrl-RS" w:eastAsia="sr-Latn-RS"/>
              </w:rPr>
            </w:pPr>
            <w:r w:rsidRPr="00A522F7">
              <w:rPr>
                <w:rFonts w:asciiTheme="minorHAnsi" w:hAnsiTheme="minorHAnsi"/>
                <w:b/>
                <w:sz w:val="16"/>
                <w:szCs w:val="16"/>
                <w:lang w:eastAsia="sr-Latn-RS"/>
              </w:rPr>
              <w:t>25.234.000,03</w:t>
            </w:r>
          </w:p>
        </w:tc>
        <w:tc>
          <w:tcPr>
            <w:tcW w:w="1276" w:type="dxa"/>
            <w:shd w:val="clear" w:color="auto" w:fill="C6D9F1" w:themeFill="text2" w:themeFillTint="33"/>
            <w:vAlign w:val="center"/>
          </w:tcPr>
          <w:p w14:paraId="4C4B1619" w14:textId="77777777" w:rsidR="008307BD" w:rsidRPr="00CC181D" w:rsidRDefault="00A522F7" w:rsidP="001538EF">
            <w:pPr>
              <w:jc w:val="right"/>
              <w:rPr>
                <w:rFonts w:asciiTheme="minorHAnsi" w:hAnsiTheme="minorHAnsi"/>
                <w:b/>
                <w:sz w:val="16"/>
                <w:szCs w:val="16"/>
                <w:lang w:eastAsia="sr-Latn-RS"/>
              </w:rPr>
            </w:pPr>
            <w:r>
              <w:rPr>
                <w:rFonts w:asciiTheme="minorHAnsi" w:hAnsiTheme="minorHAnsi"/>
                <w:b/>
                <w:sz w:val="16"/>
                <w:szCs w:val="16"/>
                <w:lang w:eastAsia="sr-Latn-RS"/>
              </w:rPr>
              <w:t>12.617.000,02</w:t>
            </w:r>
          </w:p>
        </w:tc>
        <w:tc>
          <w:tcPr>
            <w:tcW w:w="1276" w:type="dxa"/>
            <w:shd w:val="clear" w:color="auto" w:fill="C6D9F1" w:themeFill="text2" w:themeFillTint="33"/>
            <w:vAlign w:val="center"/>
          </w:tcPr>
          <w:p w14:paraId="779BA814" w14:textId="77777777" w:rsidR="008307BD" w:rsidRPr="00A522F7" w:rsidRDefault="00A522F7" w:rsidP="001163A8">
            <w:pPr>
              <w:jc w:val="center"/>
              <w:rPr>
                <w:rFonts w:asciiTheme="minorHAnsi" w:hAnsiTheme="minorHAnsi"/>
                <w:b/>
                <w:sz w:val="16"/>
                <w:szCs w:val="16"/>
                <w:lang w:val="sr-Cyrl-RS" w:eastAsia="sr-Latn-RS"/>
              </w:rPr>
            </w:pPr>
            <w:r>
              <w:rPr>
                <w:rFonts w:asciiTheme="minorHAnsi" w:hAnsiTheme="minorHAnsi"/>
                <w:b/>
                <w:sz w:val="16"/>
                <w:szCs w:val="16"/>
                <w:lang w:eastAsia="sr-Latn-RS"/>
              </w:rPr>
              <w:t>84,79%</w:t>
            </w:r>
          </w:p>
        </w:tc>
      </w:tr>
      <w:tr w:rsidR="00961BDD" w:rsidRPr="008307BD" w14:paraId="1F514184" w14:textId="77777777" w:rsidTr="00961BDD">
        <w:trPr>
          <w:trHeight w:val="219"/>
        </w:trPr>
        <w:tc>
          <w:tcPr>
            <w:tcW w:w="1271" w:type="dxa"/>
            <w:vMerge w:val="restart"/>
            <w:shd w:val="clear" w:color="auto" w:fill="auto"/>
            <w:vAlign w:val="center"/>
            <w:hideMark/>
          </w:tcPr>
          <w:p w14:paraId="787B0134" w14:textId="77777777" w:rsidR="00961BDD" w:rsidRPr="00961BDD" w:rsidRDefault="00961BDD" w:rsidP="001538EF">
            <w:pPr>
              <w:jc w:val="left"/>
              <w:rPr>
                <w:rFonts w:asciiTheme="minorHAnsi" w:hAnsiTheme="minorHAnsi"/>
                <w:caps/>
                <w:sz w:val="16"/>
                <w:szCs w:val="16"/>
                <w:lang w:val="sr-Latn-RS" w:eastAsia="sr-Latn-RS"/>
              </w:rPr>
            </w:pPr>
            <w:r w:rsidRPr="00961BDD">
              <w:rPr>
                <w:rFonts w:asciiTheme="minorHAnsi" w:hAnsiTheme="minorHAnsi"/>
                <w:caps/>
                <w:sz w:val="16"/>
                <w:szCs w:val="16"/>
                <w:lang w:eastAsia="sr-Latn-RS"/>
              </w:rPr>
              <w:t>Unicredit bank a.d. Banja Luka</w:t>
            </w:r>
          </w:p>
        </w:tc>
        <w:tc>
          <w:tcPr>
            <w:tcW w:w="1418" w:type="dxa"/>
            <w:vAlign w:val="center"/>
          </w:tcPr>
          <w:p w14:paraId="21EA2C84" w14:textId="77777777" w:rsidR="00961BDD" w:rsidRPr="00961BDD" w:rsidRDefault="00961BDD" w:rsidP="008307BD">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Opšti portfelj</w:t>
            </w:r>
          </w:p>
        </w:tc>
        <w:tc>
          <w:tcPr>
            <w:tcW w:w="1417" w:type="dxa"/>
            <w:vAlign w:val="center"/>
          </w:tcPr>
          <w:p w14:paraId="2FBA8AE9"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eastAsia="sr-Latn-RS"/>
              </w:rPr>
              <w:t>30.000.000,00</w:t>
            </w:r>
          </w:p>
        </w:tc>
        <w:tc>
          <w:tcPr>
            <w:tcW w:w="851" w:type="dxa"/>
            <w:vAlign w:val="center"/>
          </w:tcPr>
          <w:p w14:paraId="226FE703" w14:textId="77777777" w:rsidR="00961BDD" w:rsidRPr="00961BDD" w:rsidRDefault="00A522F7" w:rsidP="0066469A">
            <w:pPr>
              <w:jc w:val="center"/>
              <w:rPr>
                <w:rFonts w:asciiTheme="minorHAnsi" w:hAnsiTheme="minorHAnsi"/>
                <w:sz w:val="16"/>
                <w:szCs w:val="16"/>
                <w:lang w:val="sr-Cyrl-RS" w:eastAsia="sr-Latn-RS"/>
              </w:rPr>
            </w:pPr>
            <w:r>
              <w:rPr>
                <w:rFonts w:asciiTheme="minorHAnsi" w:hAnsiTheme="minorHAnsi"/>
                <w:sz w:val="16"/>
                <w:szCs w:val="16"/>
                <w:lang w:eastAsia="sr-Latn-RS"/>
              </w:rPr>
              <w:t>13</w:t>
            </w:r>
          </w:p>
        </w:tc>
        <w:tc>
          <w:tcPr>
            <w:tcW w:w="1275" w:type="dxa"/>
            <w:shd w:val="clear" w:color="auto" w:fill="auto"/>
            <w:vAlign w:val="center"/>
            <w:hideMark/>
          </w:tcPr>
          <w:p w14:paraId="39FE13D0"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eastAsia="sr-Latn-RS"/>
              </w:rPr>
              <w:t>2.383.000,00</w:t>
            </w:r>
          </w:p>
        </w:tc>
        <w:tc>
          <w:tcPr>
            <w:tcW w:w="1276" w:type="dxa"/>
            <w:shd w:val="clear" w:color="auto" w:fill="auto"/>
            <w:vAlign w:val="center"/>
            <w:hideMark/>
          </w:tcPr>
          <w:p w14:paraId="634AF577"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eastAsia="sr-Latn-RS"/>
              </w:rPr>
              <w:t>1.191.500,00</w:t>
            </w:r>
          </w:p>
        </w:tc>
        <w:tc>
          <w:tcPr>
            <w:tcW w:w="1276" w:type="dxa"/>
            <w:vAlign w:val="center"/>
          </w:tcPr>
          <w:p w14:paraId="4DB7CD71" w14:textId="77777777" w:rsidR="00961BDD" w:rsidRPr="00961BDD" w:rsidRDefault="00961BDD" w:rsidP="001163A8">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8,96%</w:t>
            </w:r>
          </w:p>
        </w:tc>
      </w:tr>
      <w:tr w:rsidR="00961BDD" w:rsidRPr="008307BD" w14:paraId="3A3117D4" w14:textId="77777777" w:rsidTr="00961BDD">
        <w:trPr>
          <w:trHeight w:val="219"/>
        </w:trPr>
        <w:tc>
          <w:tcPr>
            <w:tcW w:w="1271" w:type="dxa"/>
            <w:vMerge/>
            <w:shd w:val="clear" w:color="auto" w:fill="auto"/>
            <w:vAlign w:val="center"/>
          </w:tcPr>
          <w:p w14:paraId="0B4B3A26" w14:textId="77777777" w:rsidR="00961BDD" w:rsidRPr="00961BDD" w:rsidRDefault="00961BDD" w:rsidP="001538EF">
            <w:pPr>
              <w:jc w:val="left"/>
              <w:rPr>
                <w:rFonts w:asciiTheme="minorHAnsi" w:hAnsiTheme="minorHAnsi"/>
                <w:caps/>
                <w:sz w:val="16"/>
                <w:szCs w:val="16"/>
                <w:lang w:val="sr-Latn-RS" w:eastAsia="sr-Latn-RS"/>
              </w:rPr>
            </w:pPr>
          </w:p>
        </w:tc>
        <w:tc>
          <w:tcPr>
            <w:tcW w:w="1418" w:type="dxa"/>
            <w:vAlign w:val="center"/>
          </w:tcPr>
          <w:p w14:paraId="60028B6F" w14:textId="3757AD36" w:rsidR="00961BDD" w:rsidRPr="00961BDD" w:rsidRDefault="00961BDD" w:rsidP="00C779CA">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Portf</w:t>
            </w:r>
            <w:r w:rsidR="00035CFF">
              <w:rPr>
                <w:rFonts w:asciiTheme="minorHAnsi" w:hAnsiTheme="minorHAnsi"/>
                <w:sz w:val="16"/>
                <w:szCs w:val="16"/>
                <w:lang w:eastAsia="sr-Latn-RS"/>
              </w:rPr>
              <w:t xml:space="preserve">elj </w:t>
            </w:r>
            <w:r w:rsidRPr="00961BDD">
              <w:rPr>
                <w:rFonts w:asciiTheme="minorHAnsi" w:hAnsiTheme="minorHAnsi"/>
                <w:sz w:val="16"/>
                <w:szCs w:val="16"/>
                <w:lang w:eastAsia="sr-Latn-RS"/>
              </w:rPr>
              <w:t xml:space="preserve"> za OIE</w:t>
            </w:r>
          </w:p>
        </w:tc>
        <w:tc>
          <w:tcPr>
            <w:tcW w:w="1417" w:type="dxa"/>
            <w:vAlign w:val="center"/>
          </w:tcPr>
          <w:p w14:paraId="5CAC140A"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eastAsia="sr-Latn-RS"/>
              </w:rPr>
              <w:t>20.000.000,00</w:t>
            </w:r>
          </w:p>
        </w:tc>
        <w:tc>
          <w:tcPr>
            <w:tcW w:w="851" w:type="dxa"/>
            <w:vAlign w:val="center"/>
          </w:tcPr>
          <w:p w14:paraId="5089A0FE" w14:textId="77777777" w:rsidR="00961BDD" w:rsidRPr="00961BDD" w:rsidRDefault="00A522F7" w:rsidP="0066469A">
            <w:pPr>
              <w:jc w:val="center"/>
              <w:rPr>
                <w:rFonts w:asciiTheme="minorHAnsi" w:hAnsiTheme="minorHAnsi"/>
                <w:sz w:val="16"/>
                <w:szCs w:val="16"/>
                <w:lang w:val="sr-Cyrl-RS" w:eastAsia="sr-Latn-RS"/>
              </w:rPr>
            </w:pPr>
            <w:r>
              <w:rPr>
                <w:rFonts w:asciiTheme="minorHAnsi" w:hAnsiTheme="minorHAnsi"/>
                <w:sz w:val="16"/>
                <w:szCs w:val="16"/>
                <w:lang w:eastAsia="sr-Latn-RS"/>
              </w:rPr>
              <w:t>0</w:t>
            </w:r>
          </w:p>
        </w:tc>
        <w:tc>
          <w:tcPr>
            <w:tcW w:w="1275" w:type="dxa"/>
            <w:shd w:val="clear" w:color="auto" w:fill="auto"/>
            <w:vAlign w:val="center"/>
          </w:tcPr>
          <w:p w14:paraId="4AF2168D"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eastAsia="sr-Latn-RS"/>
              </w:rPr>
              <w:t>-</w:t>
            </w:r>
          </w:p>
        </w:tc>
        <w:tc>
          <w:tcPr>
            <w:tcW w:w="1276" w:type="dxa"/>
            <w:shd w:val="clear" w:color="auto" w:fill="auto"/>
            <w:vAlign w:val="center"/>
          </w:tcPr>
          <w:p w14:paraId="4457F6BD"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eastAsia="sr-Latn-RS"/>
              </w:rPr>
              <w:t>-</w:t>
            </w:r>
          </w:p>
        </w:tc>
        <w:tc>
          <w:tcPr>
            <w:tcW w:w="1276" w:type="dxa"/>
            <w:vAlign w:val="center"/>
          </w:tcPr>
          <w:p w14:paraId="7DA1907D" w14:textId="77777777" w:rsidR="00961BDD" w:rsidRPr="00961BDD" w:rsidRDefault="00961BDD" w:rsidP="001163A8">
            <w:pPr>
              <w:jc w:val="center"/>
              <w:rPr>
                <w:rFonts w:asciiTheme="minorHAnsi" w:hAnsiTheme="minorHAnsi"/>
                <w:sz w:val="16"/>
                <w:szCs w:val="16"/>
                <w:lang w:val="sr-Cyrl-RS" w:eastAsia="sr-Latn-RS"/>
              </w:rPr>
            </w:pPr>
          </w:p>
        </w:tc>
      </w:tr>
      <w:tr w:rsidR="008307BD" w:rsidRPr="008307BD" w14:paraId="77302F0E" w14:textId="77777777" w:rsidTr="00961BDD">
        <w:trPr>
          <w:trHeight w:val="219"/>
        </w:trPr>
        <w:tc>
          <w:tcPr>
            <w:tcW w:w="2689" w:type="dxa"/>
            <w:gridSpan w:val="2"/>
            <w:shd w:val="clear" w:color="auto" w:fill="C6D9F1" w:themeFill="text2" w:themeFillTint="33"/>
            <w:vAlign w:val="center"/>
          </w:tcPr>
          <w:p w14:paraId="086BE2C8" w14:textId="77777777" w:rsidR="008307BD" w:rsidRPr="00A522F7" w:rsidRDefault="00961BDD" w:rsidP="008307BD">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УКУПНО</w:t>
            </w:r>
          </w:p>
        </w:tc>
        <w:tc>
          <w:tcPr>
            <w:tcW w:w="1417" w:type="dxa"/>
            <w:shd w:val="clear" w:color="auto" w:fill="C6D9F1" w:themeFill="text2" w:themeFillTint="33"/>
            <w:vAlign w:val="center"/>
          </w:tcPr>
          <w:p w14:paraId="2DE7C010" w14:textId="77777777" w:rsidR="008307BD" w:rsidRPr="00A522F7" w:rsidRDefault="00961BDD" w:rsidP="00961BDD">
            <w:pPr>
              <w:ind w:left="-108" w:right="-103"/>
              <w:jc w:val="right"/>
              <w:rPr>
                <w:rFonts w:asciiTheme="minorHAnsi" w:hAnsiTheme="minorHAnsi"/>
                <w:b/>
                <w:sz w:val="16"/>
                <w:szCs w:val="16"/>
                <w:lang w:val="sr-Cyrl-RS" w:eastAsia="sr-Latn-RS"/>
              </w:rPr>
            </w:pPr>
            <w:r w:rsidRPr="00A522F7">
              <w:rPr>
                <w:rFonts w:asciiTheme="minorHAnsi" w:hAnsiTheme="minorHAnsi"/>
                <w:b/>
                <w:sz w:val="16"/>
                <w:szCs w:val="16"/>
                <w:lang w:eastAsia="sr-Latn-RS"/>
              </w:rPr>
              <w:t>50.000.000,00</w:t>
            </w:r>
          </w:p>
        </w:tc>
        <w:tc>
          <w:tcPr>
            <w:tcW w:w="851" w:type="dxa"/>
            <w:shd w:val="clear" w:color="auto" w:fill="C6D9F1" w:themeFill="text2" w:themeFillTint="33"/>
            <w:vAlign w:val="center"/>
          </w:tcPr>
          <w:p w14:paraId="2EC00280" w14:textId="77777777" w:rsidR="008307BD" w:rsidRPr="00A522F7" w:rsidRDefault="00961BDD" w:rsidP="0066469A">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13</w:t>
            </w:r>
          </w:p>
        </w:tc>
        <w:tc>
          <w:tcPr>
            <w:tcW w:w="1275" w:type="dxa"/>
            <w:shd w:val="clear" w:color="auto" w:fill="C6D9F1" w:themeFill="text2" w:themeFillTint="33"/>
            <w:vAlign w:val="center"/>
          </w:tcPr>
          <w:p w14:paraId="172CB66E"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eastAsia="sr-Latn-RS"/>
              </w:rPr>
              <w:t>2.383.000,00</w:t>
            </w:r>
          </w:p>
        </w:tc>
        <w:tc>
          <w:tcPr>
            <w:tcW w:w="1276" w:type="dxa"/>
            <w:shd w:val="clear" w:color="auto" w:fill="C6D9F1" w:themeFill="text2" w:themeFillTint="33"/>
            <w:vAlign w:val="center"/>
          </w:tcPr>
          <w:p w14:paraId="295F49D8"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eastAsia="sr-Latn-RS"/>
              </w:rPr>
              <w:t>1.191.500,00</w:t>
            </w:r>
          </w:p>
        </w:tc>
        <w:tc>
          <w:tcPr>
            <w:tcW w:w="1276" w:type="dxa"/>
            <w:shd w:val="clear" w:color="auto" w:fill="C6D9F1" w:themeFill="text2" w:themeFillTint="33"/>
            <w:vAlign w:val="center"/>
          </w:tcPr>
          <w:p w14:paraId="47A09991" w14:textId="77777777" w:rsidR="008307BD" w:rsidRPr="00A522F7" w:rsidRDefault="00C779CA" w:rsidP="001163A8">
            <w:pPr>
              <w:jc w:val="center"/>
              <w:rPr>
                <w:rFonts w:asciiTheme="minorHAnsi" w:hAnsiTheme="minorHAnsi"/>
                <w:b/>
                <w:sz w:val="16"/>
                <w:szCs w:val="16"/>
                <w:lang w:val="sr-Cyrl-RS" w:eastAsia="sr-Latn-RS"/>
              </w:rPr>
            </w:pPr>
            <w:r>
              <w:rPr>
                <w:rFonts w:asciiTheme="minorHAnsi" w:hAnsiTheme="minorHAnsi"/>
                <w:b/>
                <w:sz w:val="16"/>
                <w:szCs w:val="16"/>
                <w:lang w:eastAsia="sr-Latn-RS"/>
              </w:rPr>
              <w:t>8,01%</w:t>
            </w:r>
          </w:p>
        </w:tc>
      </w:tr>
      <w:tr w:rsidR="00961BDD" w:rsidRPr="008307BD" w14:paraId="7C1AAD7A" w14:textId="77777777" w:rsidTr="00961BDD">
        <w:trPr>
          <w:trHeight w:val="219"/>
        </w:trPr>
        <w:tc>
          <w:tcPr>
            <w:tcW w:w="1271" w:type="dxa"/>
            <w:vMerge w:val="restart"/>
            <w:shd w:val="clear" w:color="auto" w:fill="auto"/>
            <w:vAlign w:val="center"/>
            <w:hideMark/>
          </w:tcPr>
          <w:p w14:paraId="0E8A350F" w14:textId="77777777" w:rsidR="00961BDD" w:rsidRPr="00961BDD" w:rsidRDefault="00961BDD" w:rsidP="001538EF">
            <w:pPr>
              <w:jc w:val="left"/>
              <w:rPr>
                <w:rFonts w:asciiTheme="minorHAnsi" w:hAnsiTheme="minorHAnsi"/>
                <w:caps/>
                <w:sz w:val="16"/>
                <w:szCs w:val="16"/>
                <w:lang w:val="sr-Latn-RS" w:eastAsia="sr-Latn-RS"/>
              </w:rPr>
            </w:pPr>
            <w:r w:rsidRPr="00961BDD">
              <w:rPr>
                <w:rFonts w:asciiTheme="minorHAnsi" w:hAnsiTheme="minorHAnsi"/>
                <w:caps/>
                <w:sz w:val="16"/>
                <w:szCs w:val="16"/>
                <w:lang w:eastAsia="sr-Latn-RS"/>
              </w:rPr>
              <w:t>MF Banka a.d. Banja Luka</w:t>
            </w:r>
          </w:p>
        </w:tc>
        <w:tc>
          <w:tcPr>
            <w:tcW w:w="1418" w:type="dxa"/>
            <w:vAlign w:val="center"/>
          </w:tcPr>
          <w:p w14:paraId="6722356C" w14:textId="77777777" w:rsidR="00961BDD" w:rsidRPr="00961BDD" w:rsidRDefault="00961BDD" w:rsidP="008307BD">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Opšti portfelj</w:t>
            </w:r>
          </w:p>
        </w:tc>
        <w:tc>
          <w:tcPr>
            <w:tcW w:w="1417" w:type="dxa"/>
            <w:vAlign w:val="center"/>
          </w:tcPr>
          <w:p w14:paraId="26685A2F"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eastAsia="sr-Latn-RS"/>
              </w:rPr>
              <w:t>10.000.000,00</w:t>
            </w:r>
          </w:p>
        </w:tc>
        <w:tc>
          <w:tcPr>
            <w:tcW w:w="851" w:type="dxa"/>
            <w:vAlign w:val="center"/>
          </w:tcPr>
          <w:p w14:paraId="0C5890C6" w14:textId="77777777" w:rsidR="00961BDD" w:rsidRPr="00961BDD" w:rsidRDefault="00A522F7" w:rsidP="0066469A">
            <w:pPr>
              <w:jc w:val="center"/>
              <w:rPr>
                <w:rFonts w:asciiTheme="minorHAnsi" w:hAnsiTheme="minorHAnsi"/>
                <w:sz w:val="16"/>
                <w:szCs w:val="16"/>
                <w:lang w:val="sr-Cyrl-RS" w:eastAsia="sr-Latn-RS"/>
              </w:rPr>
            </w:pPr>
            <w:r>
              <w:rPr>
                <w:rFonts w:asciiTheme="minorHAnsi" w:hAnsiTheme="minorHAnsi"/>
                <w:sz w:val="16"/>
                <w:szCs w:val="16"/>
                <w:lang w:eastAsia="sr-Latn-RS"/>
              </w:rPr>
              <w:t>18</w:t>
            </w:r>
          </w:p>
        </w:tc>
        <w:tc>
          <w:tcPr>
            <w:tcW w:w="1275" w:type="dxa"/>
            <w:shd w:val="clear" w:color="auto" w:fill="auto"/>
            <w:vAlign w:val="center"/>
            <w:hideMark/>
          </w:tcPr>
          <w:p w14:paraId="3CB6AB49"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eastAsia="sr-Latn-RS"/>
              </w:rPr>
              <w:t>2.145.000,00</w:t>
            </w:r>
          </w:p>
        </w:tc>
        <w:tc>
          <w:tcPr>
            <w:tcW w:w="1276" w:type="dxa"/>
            <w:shd w:val="clear" w:color="auto" w:fill="auto"/>
            <w:vAlign w:val="center"/>
            <w:hideMark/>
          </w:tcPr>
          <w:p w14:paraId="46D5E191" w14:textId="77777777" w:rsidR="00961BDD" w:rsidRPr="00961BDD" w:rsidRDefault="00961BDD" w:rsidP="001538EF">
            <w:pPr>
              <w:jc w:val="right"/>
              <w:rPr>
                <w:rFonts w:asciiTheme="minorHAnsi" w:hAnsiTheme="minorHAnsi"/>
                <w:sz w:val="16"/>
                <w:szCs w:val="16"/>
                <w:lang w:val="sr-Latn-RS" w:eastAsia="sr-Latn-RS"/>
              </w:rPr>
            </w:pPr>
            <w:r w:rsidRPr="00961BDD">
              <w:rPr>
                <w:rFonts w:asciiTheme="minorHAnsi" w:hAnsiTheme="minorHAnsi"/>
                <w:sz w:val="16"/>
                <w:szCs w:val="16"/>
                <w:lang w:eastAsia="sr-Latn-RS"/>
              </w:rPr>
              <w:t>1.072.500,00</w:t>
            </w:r>
          </w:p>
        </w:tc>
        <w:tc>
          <w:tcPr>
            <w:tcW w:w="1276" w:type="dxa"/>
            <w:vAlign w:val="center"/>
          </w:tcPr>
          <w:p w14:paraId="163B4D8C" w14:textId="77777777" w:rsidR="00961BDD" w:rsidRPr="00961BDD" w:rsidRDefault="00C779CA" w:rsidP="001163A8">
            <w:pPr>
              <w:jc w:val="center"/>
              <w:rPr>
                <w:rFonts w:asciiTheme="minorHAnsi" w:hAnsiTheme="minorHAnsi"/>
                <w:sz w:val="16"/>
                <w:szCs w:val="16"/>
                <w:lang w:val="sr-Cyrl-RS" w:eastAsia="sr-Latn-RS"/>
              </w:rPr>
            </w:pPr>
            <w:r>
              <w:rPr>
                <w:rFonts w:asciiTheme="minorHAnsi" w:hAnsiTheme="minorHAnsi"/>
                <w:sz w:val="16"/>
                <w:szCs w:val="16"/>
                <w:lang w:eastAsia="sr-Latn-RS"/>
              </w:rPr>
              <w:t>8,01%</w:t>
            </w:r>
          </w:p>
        </w:tc>
      </w:tr>
      <w:tr w:rsidR="00961BDD" w:rsidRPr="008307BD" w14:paraId="5CA62CEE" w14:textId="77777777" w:rsidTr="00961BDD">
        <w:trPr>
          <w:trHeight w:val="219"/>
        </w:trPr>
        <w:tc>
          <w:tcPr>
            <w:tcW w:w="1271" w:type="dxa"/>
            <w:vMerge/>
            <w:shd w:val="clear" w:color="auto" w:fill="auto"/>
            <w:vAlign w:val="center"/>
          </w:tcPr>
          <w:p w14:paraId="267E1550" w14:textId="77777777" w:rsidR="00961BDD" w:rsidRPr="00961BDD" w:rsidRDefault="00961BDD" w:rsidP="001538EF">
            <w:pPr>
              <w:jc w:val="left"/>
              <w:rPr>
                <w:rFonts w:asciiTheme="minorHAnsi" w:hAnsiTheme="minorHAnsi"/>
                <w:caps/>
                <w:sz w:val="16"/>
                <w:szCs w:val="16"/>
                <w:lang w:val="sr-Latn-RS" w:eastAsia="sr-Latn-RS"/>
              </w:rPr>
            </w:pPr>
          </w:p>
        </w:tc>
        <w:tc>
          <w:tcPr>
            <w:tcW w:w="1418" w:type="dxa"/>
            <w:vAlign w:val="center"/>
          </w:tcPr>
          <w:p w14:paraId="4E04586E" w14:textId="0731E06F" w:rsidR="00961BDD" w:rsidRPr="00961BDD" w:rsidRDefault="00961BDD" w:rsidP="00C779CA">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Portf</w:t>
            </w:r>
            <w:r w:rsidR="00035CFF">
              <w:rPr>
                <w:rFonts w:asciiTheme="minorHAnsi" w:hAnsiTheme="minorHAnsi"/>
                <w:sz w:val="16"/>
                <w:szCs w:val="16"/>
                <w:lang w:eastAsia="sr-Latn-RS"/>
              </w:rPr>
              <w:t xml:space="preserve">elj </w:t>
            </w:r>
            <w:r w:rsidRPr="00961BDD">
              <w:rPr>
                <w:rFonts w:asciiTheme="minorHAnsi" w:hAnsiTheme="minorHAnsi"/>
                <w:sz w:val="16"/>
                <w:szCs w:val="16"/>
                <w:lang w:eastAsia="sr-Latn-RS"/>
              </w:rPr>
              <w:t xml:space="preserve"> za</w:t>
            </w:r>
            <w:r w:rsidR="00035CFF">
              <w:rPr>
                <w:rFonts w:asciiTheme="minorHAnsi" w:hAnsiTheme="minorHAnsi"/>
                <w:sz w:val="16"/>
                <w:szCs w:val="16"/>
                <w:lang w:eastAsia="sr-Latn-RS"/>
              </w:rPr>
              <w:t xml:space="preserve"> </w:t>
            </w:r>
            <w:r w:rsidRPr="00961BDD">
              <w:rPr>
                <w:rFonts w:asciiTheme="minorHAnsi" w:hAnsiTheme="minorHAnsi"/>
                <w:sz w:val="16"/>
                <w:szCs w:val="16"/>
                <w:lang w:eastAsia="sr-Latn-RS"/>
              </w:rPr>
              <w:t xml:space="preserve"> OIE</w:t>
            </w:r>
          </w:p>
        </w:tc>
        <w:tc>
          <w:tcPr>
            <w:tcW w:w="1417" w:type="dxa"/>
            <w:vAlign w:val="center"/>
          </w:tcPr>
          <w:p w14:paraId="17C160E9" w14:textId="77777777" w:rsidR="00961BDD" w:rsidRPr="00961BDD" w:rsidRDefault="00961BD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eastAsia="sr-Latn-RS"/>
              </w:rPr>
              <w:t>5.000.000,00</w:t>
            </w:r>
          </w:p>
        </w:tc>
        <w:tc>
          <w:tcPr>
            <w:tcW w:w="851" w:type="dxa"/>
            <w:vAlign w:val="center"/>
          </w:tcPr>
          <w:p w14:paraId="70AF822A" w14:textId="77777777" w:rsidR="00961BDD" w:rsidRPr="00A522F7" w:rsidRDefault="00A522F7" w:rsidP="0066469A">
            <w:pPr>
              <w:jc w:val="center"/>
              <w:rPr>
                <w:rFonts w:asciiTheme="minorHAnsi" w:hAnsiTheme="minorHAnsi"/>
                <w:sz w:val="16"/>
                <w:szCs w:val="16"/>
                <w:lang w:val="sr-Cyrl-RS" w:eastAsia="sr-Latn-RS"/>
              </w:rPr>
            </w:pPr>
            <w:r>
              <w:rPr>
                <w:rFonts w:asciiTheme="minorHAnsi" w:hAnsiTheme="minorHAnsi"/>
                <w:sz w:val="16"/>
                <w:szCs w:val="16"/>
                <w:lang w:eastAsia="sr-Latn-RS"/>
              </w:rPr>
              <w:t>0</w:t>
            </w:r>
          </w:p>
        </w:tc>
        <w:tc>
          <w:tcPr>
            <w:tcW w:w="1275" w:type="dxa"/>
            <w:shd w:val="clear" w:color="auto" w:fill="auto"/>
            <w:vAlign w:val="center"/>
          </w:tcPr>
          <w:p w14:paraId="182175F4"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eastAsia="sr-Latn-RS"/>
              </w:rPr>
              <w:t>-</w:t>
            </w:r>
          </w:p>
        </w:tc>
        <w:tc>
          <w:tcPr>
            <w:tcW w:w="1276" w:type="dxa"/>
            <w:shd w:val="clear" w:color="auto" w:fill="auto"/>
            <w:vAlign w:val="center"/>
          </w:tcPr>
          <w:p w14:paraId="56B6CC4F" w14:textId="77777777" w:rsidR="00961BD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eastAsia="sr-Latn-RS"/>
              </w:rPr>
              <w:t>-</w:t>
            </w:r>
          </w:p>
        </w:tc>
        <w:tc>
          <w:tcPr>
            <w:tcW w:w="1276" w:type="dxa"/>
            <w:vAlign w:val="center"/>
          </w:tcPr>
          <w:p w14:paraId="3DC8D528" w14:textId="77777777" w:rsidR="00961BDD" w:rsidRPr="00961BDD" w:rsidRDefault="00961BDD" w:rsidP="001163A8">
            <w:pPr>
              <w:jc w:val="center"/>
              <w:rPr>
                <w:rFonts w:asciiTheme="minorHAnsi" w:hAnsiTheme="minorHAnsi"/>
                <w:sz w:val="16"/>
                <w:szCs w:val="16"/>
                <w:lang w:val="sr-Cyrl-RS" w:eastAsia="sr-Latn-RS"/>
              </w:rPr>
            </w:pPr>
          </w:p>
        </w:tc>
      </w:tr>
      <w:tr w:rsidR="008307BD" w:rsidRPr="008307BD" w14:paraId="038A398A" w14:textId="77777777" w:rsidTr="00961BDD">
        <w:trPr>
          <w:trHeight w:val="219"/>
        </w:trPr>
        <w:tc>
          <w:tcPr>
            <w:tcW w:w="2689" w:type="dxa"/>
            <w:gridSpan w:val="2"/>
            <w:shd w:val="clear" w:color="auto" w:fill="C6D9F1" w:themeFill="text2" w:themeFillTint="33"/>
            <w:vAlign w:val="center"/>
          </w:tcPr>
          <w:p w14:paraId="6E1698A6" w14:textId="77777777" w:rsidR="008307BD" w:rsidRPr="00A522F7" w:rsidRDefault="00961BDD" w:rsidP="008307BD">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УКУПНО</w:t>
            </w:r>
          </w:p>
        </w:tc>
        <w:tc>
          <w:tcPr>
            <w:tcW w:w="1417" w:type="dxa"/>
            <w:shd w:val="clear" w:color="auto" w:fill="C6D9F1" w:themeFill="text2" w:themeFillTint="33"/>
            <w:vAlign w:val="center"/>
          </w:tcPr>
          <w:p w14:paraId="73EB119C" w14:textId="77777777" w:rsidR="008307BD" w:rsidRPr="00A522F7" w:rsidRDefault="00961BDD" w:rsidP="00961BDD">
            <w:pPr>
              <w:ind w:left="-108" w:right="-103"/>
              <w:jc w:val="right"/>
              <w:rPr>
                <w:rFonts w:asciiTheme="minorHAnsi" w:hAnsiTheme="minorHAnsi"/>
                <w:b/>
                <w:sz w:val="16"/>
                <w:szCs w:val="16"/>
                <w:lang w:val="sr-Cyrl-RS" w:eastAsia="sr-Latn-RS"/>
              </w:rPr>
            </w:pPr>
            <w:r w:rsidRPr="00A522F7">
              <w:rPr>
                <w:rFonts w:asciiTheme="minorHAnsi" w:hAnsiTheme="minorHAnsi"/>
                <w:b/>
                <w:sz w:val="16"/>
                <w:szCs w:val="16"/>
                <w:lang w:eastAsia="sr-Latn-RS"/>
              </w:rPr>
              <w:t>15.000.000,00</w:t>
            </w:r>
          </w:p>
        </w:tc>
        <w:tc>
          <w:tcPr>
            <w:tcW w:w="851" w:type="dxa"/>
            <w:shd w:val="clear" w:color="auto" w:fill="C6D9F1" w:themeFill="text2" w:themeFillTint="33"/>
            <w:vAlign w:val="center"/>
          </w:tcPr>
          <w:p w14:paraId="1C0F90E0" w14:textId="77777777" w:rsidR="008307BD" w:rsidRPr="00A522F7" w:rsidRDefault="00961BDD" w:rsidP="0066469A">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18</w:t>
            </w:r>
          </w:p>
        </w:tc>
        <w:tc>
          <w:tcPr>
            <w:tcW w:w="1275" w:type="dxa"/>
            <w:shd w:val="clear" w:color="auto" w:fill="C6D9F1" w:themeFill="text2" w:themeFillTint="33"/>
            <w:vAlign w:val="center"/>
          </w:tcPr>
          <w:p w14:paraId="1C3596F4"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eastAsia="sr-Latn-RS"/>
              </w:rPr>
              <w:t>2.145.000,00</w:t>
            </w:r>
          </w:p>
        </w:tc>
        <w:tc>
          <w:tcPr>
            <w:tcW w:w="1276" w:type="dxa"/>
            <w:shd w:val="clear" w:color="auto" w:fill="C6D9F1" w:themeFill="text2" w:themeFillTint="33"/>
            <w:vAlign w:val="center"/>
          </w:tcPr>
          <w:p w14:paraId="4EECBD3F" w14:textId="77777777" w:rsidR="008307BD" w:rsidRPr="00A522F7" w:rsidRDefault="00A522F7" w:rsidP="001538EF">
            <w:pPr>
              <w:jc w:val="right"/>
              <w:rPr>
                <w:rFonts w:asciiTheme="minorHAnsi" w:hAnsiTheme="minorHAnsi"/>
                <w:b/>
                <w:sz w:val="16"/>
                <w:szCs w:val="16"/>
                <w:lang w:val="sr-Cyrl-RS" w:eastAsia="sr-Latn-RS"/>
              </w:rPr>
            </w:pPr>
            <w:r>
              <w:rPr>
                <w:rFonts w:asciiTheme="minorHAnsi" w:hAnsiTheme="minorHAnsi"/>
                <w:b/>
                <w:sz w:val="16"/>
                <w:szCs w:val="16"/>
                <w:lang w:eastAsia="sr-Latn-RS"/>
              </w:rPr>
              <w:t>1.072.500,00</w:t>
            </w:r>
          </w:p>
        </w:tc>
        <w:tc>
          <w:tcPr>
            <w:tcW w:w="1276" w:type="dxa"/>
            <w:shd w:val="clear" w:color="auto" w:fill="C6D9F1" w:themeFill="text2" w:themeFillTint="33"/>
            <w:vAlign w:val="center"/>
          </w:tcPr>
          <w:p w14:paraId="6B24F2F9" w14:textId="77777777" w:rsidR="008307BD" w:rsidRPr="00A522F7" w:rsidRDefault="00A522F7" w:rsidP="008307BD">
            <w:pPr>
              <w:jc w:val="center"/>
              <w:rPr>
                <w:rFonts w:asciiTheme="minorHAnsi" w:hAnsiTheme="minorHAnsi"/>
                <w:b/>
                <w:sz w:val="16"/>
                <w:szCs w:val="16"/>
                <w:lang w:val="sr-Cyrl-RS" w:eastAsia="sr-Latn-RS"/>
              </w:rPr>
            </w:pPr>
            <w:r>
              <w:rPr>
                <w:rFonts w:asciiTheme="minorHAnsi" w:hAnsiTheme="minorHAnsi"/>
                <w:b/>
                <w:sz w:val="16"/>
                <w:szCs w:val="16"/>
                <w:lang w:eastAsia="sr-Latn-RS"/>
              </w:rPr>
              <w:t>7,21%</w:t>
            </w:r>
          </w:p>
        </w:tc>
      </w:tr>
      <w:tr w:rsidR="00961BDD" w:rsidRPr="008307BD" w14:paraId="37C7C9BE" w14:textId="77777777" w:rsidTr="00961BDD">
        <w:trPr>
          <w:trHeight w:val="219"/>
        </w:trPr>
        <w:tc>
          <w:tcPr>
            <w:tcW w:w="1271" w:type="dxa"/>
            <w:shd w:val="clear" w:color="auto" w:fill="auto"/>
            <w:vAlign w:val="center"/>
          </w:tcPr>
          <w:p w14:paraId="68CE1901" w14:textId="6E61EA38" w:rsidR="008307BD" w:rsidRPr="00C779CA" w:rsidRDefault="008307BD" w:rsidP="00C779CA">
            <w:pPr>
              <w:ind w:right="-108"/>
              <w:jc w:val="left"/>
              <w:rPr>
                <w:rFonts w:asciiTheme="minorHAnsi" w:hAnsiTheme="minorHAnsi"/>
                <w:caps/>
                <w:sz w:val="16"/>
                <w:szCs w:val="16"/>
                <w:lang w:val="sr-Cyrl-RS" w:eastAsia="sr-Latn-RS"/>
              </w:rPr>
            </w:pPr>
            <w:r w:rsidRPr="00961BDD">
              <w:rPr>
                <w:rFonts w:asciiTheme="minorHAnsi" w:hAnsiTheme="minorHAnsi"/>
                <w:caps/>
                <w:sz w:val="16"/>
                <w:szCs w:val="16"/>
                <w:lang w:eastAsia="sr-Latn-RS"/>
              </w:rPr>
              <w:t xml:space="preserve">SPARKASSE BANK </w:t>
            </w:r>
            <w:r w:rsidR="00035CFF">
              <w:rPr>
                <w:rFonts w:asciiTheme="minorHAnsi" w:hAnsiTheme="minorHAnsi"/>
                <w:caps/>
                <w:sz w:val="16"/>
                <w:szCs w:val="16"/>
                <w:lang w:eastAsia="sr-Latn-RS"/>
              </w:rPr>
              <w:t>D.D. BiH</w:t>
            </w:r>
          </w:p>
        </w:tc>
        <w:tc>
          <w:tcPr>
            <w:tcW w:w="1418" w:type="dxa"/>
            <w:vAlign w:val="center"/>
          </w:tcPr>
          <w:p w14:paraId="45A22C35" w14:textId="77777777" w:rsidR="008307BD" w:rsidRPr="00961BDD" w:rsidRDefault="008307BD" w:rsidP="008307BD">
            <w:pPr>
              <w:jc w:val="center"/>
              <w:rPr>
                <w:rFonts w:asciiTheme="minorHAnsi" w:hAnsiTheme="minorHAnsi"/>
                <w:sz w:val="16"/>
                <w:szCs w:val="16"/>
                <w:lang w:val="sr-Latn-RS" w:eastAsia="sr-Latn-RS"/>
              </w:rPr>
            </w:pPr>
            <w:r w:rsidRPr="00961BDD">
              <w:rPr>
                <w:rFonts w:asciiTheme="minorHAnsi" w:hAnsiTheme="minorHAnsi"/>
                <w:sz w:val="16"/>
                <w:szCs w:val="16"/>
                <w:lang w:eastAsia="sr-Latn-RS"/>
              </w:rPr>
              <w:t>Opšti portfelj</w:t>
            </w:r>
          </w:p>
        </w:tc>
        <w:tc>
          <w:tcPr>
            <w:tcW w:w="1417" w:type="dxa"/>
            <w:vAlign w:val="center"/>
          </w:tcPr>
          <w:p w14:paraId="7986B5DB" w14:textId="77777777" w:rsidR="008307BD" w:rsidRPr="00961BDD" w:rsidRDefault="008307BD" w:rsidP="00961BDD">
            <w:pPr>
              <w:ind w:left="-108" w:right="-103"/>
              <w:jc w:val="right"/>
              <w:rPr>
                <w:rFonts w:asciiTheme="minorHAnsi" w:hAnsiTheme="minorHAnsi"/>
                <w:sz w:val="16"/>
                <w:szCs w:val="16"/>
                <w:lang w:val="sr-Cyrl-RS" w:eastAsia="sr-Latn-RS"/>
              </w:rPr>
            </w:pPr>
            <w:r w:rsidRPr="00961BDD">
              <w:rPr>
                <w:rFonts w:asciiTheme="minorHAnsi" w:hAnsiTheme="minorHAnsi"/>
                <w:sz w:val="16"/>
                <w:szCs w:val="16"/>
                <w:lang w:eastAsia="sr-Latn-RS"/>
              </w:rPr>
              <w:t>10.000.000,00</w:t>
            </w:r>
          </w:p>
        </w:tc>
        <w:tc>
          <w:tcPr>
            <w:tcW w:w="851" w:type="dxa"/>
            <w:vAlign w:val="center"/>
          </w:tcPr>
          <w:p w14:paraId="3FFB9323" w14:textId="77777777" w:rsidR="008307BD" w:rsidRPr="00961BDD" w:rsidRDefault="008307BD" w:rsidP="0066469A">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0</w:t>
            </w:r>
          </w:p>
        </w:tc>
        <w:tc>
          <w:tcPr>
            <w:tcW w:w="1275" w:type="dxa"/>
            <w:shd w:val="clear" w:color="auto" w:fill="auto"/>
            <w:vAlign w:val="center"/>
          </w:tcPr>
          <w:p w14:paraId="314873DE" w14:textId="77777777" w:rsidR="008307BD" w:rsidRPr="00961BDD" w:rsidRDefault="00A522F7" w:rsidP="001538EF">
            <w:pPr>
              <w:jc w:val="right"/>
              <w:rPr>
                <w:rFonts w:asciiTheme="minorHAnsi" w:hAnsiTheme="minorHAnsi"/>
                <w:sz w:val="16"/>
                <w:szCs w:val="16"/>
                <w:lang w:val="sr-Cyrl-RS" w:eastAsia="sr-Latn-RS"/>
              </w:rPr>
            </w:pPr>
            <w:r>
              <w:rPr>
                <w:rFonts w:asciiTheme="minorHAnsi" w:hAnsiTheme="minorHAnsi"/>
                <w:sz w:val="16"/>
                <w:szCs w:val="16"/>
                <w:lang w:eastAsia="sr-Latn-RS"/>
              </w:rPr>
              <w:t>-</w:t>
            </w:r>
          </w:p>
        </w:tc>
        <w:tc>
          <w:tcPr>
            <w:tcW w:w="1276" w:type="dxa"/>
            <w:shd w:val="clear" w:color="auto" w:fill="auto"/>
            <w:vAlign w:val="center"/>
          </w:tcPr>
          <w:p w14:paraId="4391D06F" w14:textId="77777777" w:rsidR="008307BD" w:rsidRPr="00961BDD" w:rsidRDefault="008307BD" w:rsidP="001538EF">
            <w:pPr>
              <w:jc w:val="right"/>
              <w:rPr>
                <w:rFonts w:asciiTheme="minorHAnsi" w:hAnsiTheme="minorHAnsi"/>
                <w:sz w:val="16"/>
                <w:szCs w:val="16"/>
                <w:lang w:val="sr-Cyrl-RS" w:eastAsia="sr-Latn-RS"/>
              </w:rPr>
            </w:pPr>
            <w:r w:rsidRPr="00961BDD">
              <w:rPr>
                <w:rFonts w:asciiTheme="minorHAnsi" w:hAnsiTheme="minorHAnsi"/>
                <w:sz w:val="16"/>
                <w:szCs w:val="16"/>
                <w:lang w:eastAsia="sr-Latn-RS"/>
              </w:rPr>
              <w:t>-</w:t>
            </w:r>
          </w:p>
        </w:tc>
        <w:tc>
          <w:tcPr>
            <w:tcW w:w="1276" w:type="dxa"/>
            <w:vAlign w:val="center"/>
          </w:tcPr>
          <w:p w14:paraId="4BF6026C" w14:textId="77777777" w:rsidR="008307BD" w:rsidRPr="00961BDD" w:rsidRDefault="008307BD" w:rsidP="008307BD">
            <w:pPr>
              <w:jc w:val="center"/>
              <w:rPr>
                <w:rFonts w:asciiTheme="minorHAnsi" w:hAnsiTheme="minorHAnsi"/>
                <w:sz w:val="16"/>
                <w:szCs w:val="16"/>
                <w:lang w:val="sr-Cyrl-RS" w:eastAsia="sr-Latn-RS"/>
              </w:rPr>
            </w:pPr>
            <w:r w:rsidRPr="00961BDD">
              <w:rPr>
                <w:rFonts w:asciiTheme="minorHAnsi" w:hAnsiTheme="minorHAnsi"/>
                <w:sz w:val="16"/>
                <w:szCs w:val="16"/>
                <w:lang w:eastAsia="sr-Latn-RS"/>
              </w:rPr>
              <w:t>0,00%</w:t>
            </w:r>
          </w:p>
        </w:tc>
      </w:tr>
      <w:tr w:rsidR="008307BD" w:rsidRPr="008307BD" w14:paraId="3F79291F" w14:textId="77777777" w:rsidTr="00961BDD">
        <w:trPr>
          <w:trHeight w:val="219"/>
        </w:trPr>
        <w:tc>
          <w:tcPr>
            <w:tcW w:w="2689" w:type="dxa"/>
            <w:gridSpan w:val="2"/>
            <w:shd w:val="clear" w:color="auto" w:fill="C6D9F1" w:themeFill="text2" w:themeFillTint="33"/>
            <w:vAlign w:val="center"/>
          </w:tcPr>
          <w:p w14:paraId="06935611" w14:textId="77777777" w:rsidR="008307BD" w:rsidRPr="00A522F7" w:rsidRDefault="00961BDD" w:rsidP="000704FD">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УКУПНО</w:t>
            </w:r>
          </w:p>
        </w:tc>
        <w:tc>
          <w:tcPr>
            <w:tcW w:w="1417" w:type="dxa"/>
            <w:shd w:val="clear" w:color="auto" w:fill="C6D9F1" w:themeFill="text2" w:themeFillTint="33"/>
          </w:tcPr>
          <w:p w14:paraId="5D598E0F" w14:textId="77777777" w:rsidR="008307BD" w:rsidRPr="00A522F7" w:rsidRDefault="00961BDD" w:rsidP="00617C37">
            <w:pPr>
              <w:ind w:right="-108"/>
              <w:jc w:val="right"/>
              <w:rPr>
                <w:rFonts w:asciiTheme="minorHAnsi" w:hAnsiTheme="minorHAnsi"/>
                <w:b/>
                <w:sz w:val="16"/>
                <w:szCs w:val="16"/>
                <w:lang w:val="sr-Cyrl-RS" w:eastAsia="sr-Latn-RS"/>
              </w:rPr>
            </w:pPr>
            <w:r w:rsidRPr="00A522F7">
              <w:rPr>
                <w:rFonts w:asciiTheme="minorHAnsi" w:hAnsiTheme="minorHAnsi"/>
                <w:b/>
                <w:sz w:val="16"/>
                <w:szCs w:val="16"/>
                <w:lang w:eastAsia="sr-Latn-RS"/>
              </w:rPr>
              <w:t>10.000.000,00</w:t>
            </w:r>
          </w:p>
        </w:tc>
        <w:tc>
          <w:tcPr>
            <w:tcW w:w="851" w:type="dxa"/>
            <w:shd w:val="clear" w:color="auto" w:fill="C6D9F1" w:themeFill="text2" w:themeFillTint="33"/>
            <w:vAlign w:val="center"/>
          </w:tcPr>
          <w:p w14:paraId="4FABC504" w14:textId="77777777" w:rsidR="008307BD" w:rsidRPr="00A522F7" w:rsidRDefault="00961BDD" w:rsidP="0066469A">
            <w:pPr>
              <w:jc w:val="center"/>
              <w:rPr>
                <w:rFonts w:asciiTheme="minorHAnsi" w:hAnsiTheme="minorHAnsi"/>
                <w:b/>
                <w:sz w:val="16"/>
                <w:szCs w:val="16"/>
                <w:lang w:val="sr-Cyrl-RS" w:eastAsia="sr-Latn-RS"/>
              </w:rPr>
            </w:pPr>
            <w:r w:rsidRPr="00A522F7">
              <w:rPr>
                <w:rFonts w:asciiTheme="minorHAnsi" w:hAnsiTheme="minorHAnsi"/>
                <w:b/>
                <w:sz w:val="16"/>
                <w:szCs w:val="16"/>
                <w:lang w:eastAsia="sr-Latn-RS"/>
              </w:rPr>
              <w:t>0</w:t>
            </w:r>
          </w:p>
        </w:tc>
        <w:tc>
          <w:tcPr>
            <w:tcW w:w="1275" w:type="dxa"/>
            <w:shd w:val="clear" w:color="auto" w:fill="C6D9F1" w:themeFill="text2" w:themeFillTint="33"/>
            <w:vAlign w:val="center"/>
          </w:tcPr>
          <w:p w14:paraId="0BB2160E" w14:textId="77777777" w:rsidR="008307BD" w:rsidRPr="00CC181D" w:rsidRDefault="00CC181D" w:rsidP="00CC181D">
            <w:pPr>
              <w:jc w:val="right"/>
              <w:rPr>
                <w:rFonts w:asciiTheme="minorHAnsi" w:hAnsiTheme="minorHAnsi"/>
                <w:b/>
                <w:sz w:val="16"/>
                <w:szCs w:val="16"/>
                <w:lang w:eastAsia="sr-Latn-RS"/>
              </w:rPr>
            </w:pPr>
            <w:r>
              <w:rPr>
                <w:rFonts w:asciiTheme="minorHAnsi" w:hAnsiTheme="minorHAnsi"/>
                <w:b/>
                <w:sz w:val="16"/>
                <w:szCs w:val="16"/>
                <w:lang w:eastAsia="sr-Latn-RS"/>
              </w:rPr>
              <w:t>-</w:t>
            </w:r>
          </w:p>
        </w:tc>
        <w:tc>
          <w:tcPr>
            <w:tcW w:w="1276" w:type="dxa"/>
            <w:shd w:val="clear" w:color="auto" w:fill="C6D9F1" w:themeFill="text2" w:themeFillTint="33"/>
            <w:vAlign w:val="center"/>
          </w:tcPr>
          <w:p w14:paraId="4A04C444" w14:textId="77777777" w:rsidR="008307BD" w:rsidRPr="00CC181D" w:rsidRDefault="00CC181D" w:rsidP="001538EF">
            <w:pPr>
              <w:jc w:val="right"/>
              <w:rPr>
                <w:rFonts w:asciiTheme="minorHAnsi" w:hAnsiTheme="minorHAnsi"/>
                <w:b/>
                <w:sz w:val="16"/>
                <w:szCs w:val="16"/>
                <w:lang w:eastAsia="sr-Latn-RS"/>
              </w:rPr>
            </w:pPr>
            <w:r>
              <w:rPr>
                <w:rFonts w:asciiTheme="minorHAnsi" w:hAnsiTheme="minorHAnsi"/>
                <w:b/>
                <w:sz w:val="16"/>
                <w:szCs w:val="16"/>
                <w:lang w:eastAsia="sr-Latn-RS"/>
              </w:rPr>
              <w:t>-</w:t>
            </w:r>
          </w:p>
        </w:tc>
        <w:tc>
          <w:tcPr>
            <w:tcW w:w="1276" w:type="dxa"/>
            <w:shd w:val="clear" w:color="auto" w:fill="C6D9F1" w:themeFill="text2" w:themeFillTint="33"/>
            <w:vAlign w:val="center"/>
          </w:tcPr>
          <w:p w14:paraId="33EA52D9" w14:textId="77777777" w:rsidR="008307BD" w:rsidRPr="00A522F7" w:rsidRDefault="008307BD" w:rsidP="001163A8">
            <w:pPr>
              <w:jc w:val="center"/>
              <w:rPr>
                <w:rFonts w:asciiTheme="minorHAnsi" w:hAnsiTheme="minorHAnsi"/>
                <w:b/>
                <w:sz w:val="16"/>
                <w:szCs w:val="16"/>
                <w:lang w:val="sr-Cyrl-RS" w:eastAsia="sr-Latn-RS"/>
              </w:rPr>
            </w:pPr>
          </w:p>
        </w:tc>
      </w:tr>
      <w:tr w:rsidR="00A522F7" w:rsidRPr="008307BD" w14:paraId="16CBA50F" w14:textId="77777777" w:rsidTr="00A522F7">
        <w:trPr>
          <w:trHeight w:val="249"/>
        </w:trPr>
        <w:tc>
          <w:tcPr>
            <w:tcW w:w="2689" w:type="dxa"/>
            <w:gridSpan w:val="2"/>
            <w:shd w:val="clear" w:color="auto" w:fill="548DD4" w:themeFill="text2" w:themeFillTint="99"/>
            <w:vAlign w:val="center"/>
            <w:hideMark/>
          </w:tcPr>
          <w:p w14:paraId="262B5F62" w14:textId="77777777" w:rsidR="00A522F7" w:rsidRPr="00961BDD" w:rsidRDefault="00A522F7" w:rsidP="00A522F7">
            <w:pPr>
              <w:jc w:val="center"/>
              <w:rPr>
                <w:rFonts w:asciiTheme="minorHAnsi" w:hAnsiTheme="minorHAnsi"/>
                <w:b/>
                <w:bCs/>
                <w:sz w:val="16"/>
                <w:szCs w:val="16"/>
                <w:lang w:val="sr-Cyrl-RS" w:eastAsia="sr-Latn-RS"/>
              </w:rPr>
            </w:pPr>
            <w:r w:rsidRPr="00961BDD">
              <w:rPr>
                <w:rFonts w:asciiTheme="minorHAnsi" w:hAnsiTheme="minorHAnsi"/>
                <w:b/>
                <w:bCs/>
                <w:color w:val="auto"/>
                <w:sz w:val="16"/>
                <w:szCs w:val="16"/>
                <w:lang w:eastAsia="sr-Latn-RS"/>
              </w:rPr>
              <w:t>УКУПНО</w:t>
            </w:r>
          </w:p>
        </w:tc>
        <w:tc>
          <w:tcPr>
            <w:tcW w:w="1417" w:type="dxa"/>
            <w:shd w:val="clear" w:color="auto" w:fill="548DD4" w:themeFill="text2" w:themeFillTint="99"/>
            <w:vAlign w:val="center"/>
          </w:tcPr>
          <w:p w14:paraId="68F6F343" w14:textId="77777777" w:rsidR="00A522F7" w:rsidRPr="00961BDD" w:rsidRDefault="00A522F7" w:rsidP="00A522F7">
            <w:pPr>
              <w:jc w:val="right"/>
              <w:rPr>
                <w:rFonts w:asciiTheme="minorHAnsi" w:hAnsiTheme="minorHAnsi"/>
                <w:b/>
                <w:bCs/>
                <w:sz w:val="16"/>
                <w:szCs w:val="16"/>
                <w:lang w:val="sr-Cyrl-RS" w:eastAsia="sr-Latn-RS"/>
              </w:rPr>
            </w:pPr>
            <w:r>
              <w:rPr>
                <w:rFonts w:asciiTheme="minorHAnsi" w:hAnsiTheme="minorHAnsi"/>
                <w:b/>
                <w:bCs/>
                <w:sz w:val="16"/>
                <w:szCs w:val="16"/>
                <w:lang w:eastAsia="sr-Latn-RS"/>
              </w:rPr>
              <w:t>135.000.000,00</w:t>
            </w:r>
          </w:p>
        </w:tc>
        <w:tc>
          <w:tcPr>
            <w:tcW w:w="851" w:type="dxa"/>
            <w:shd w:val="clear" w:color="auto" w:fill="548DD4" w:themeFill="text2" w:themeFillTint="99"/>
            <w:vAlign w:val="center"/>
          </w:tcPr>
          <w:p w14:paraId="64DF482D" w14:textId="77777777" w:rsidR="00A522F7" w:rsidRPr="00961BDD" w:rsidRDefault="00A522F7" w:rsidP="00A522F7">
            <w:pPr>
              <w:jc w:val="center"/>
              <w:rPr>
                <w:rFonts w:asciiTheme="minorHAnsi" w:hAnsiTheme="minorHAnsi"/>
                <w:b/>
                <w:bCs/>
                <w:sz w:val="16"/>
                <w:szCs w:val="16"/>
                <w:lang w:val="sr-Cyrl-RS" w:eastAsia="sr-Latn-RS"/>
              </w:rPr>
            </w:pPr>
            <w:r w:rsidRPr="00961BDD">
              <w:rPr>
                <w:rFonts w:asciiTheme="minorHAnsi" w:hAnsiTheme="minorHAnsi"/>
                <w:b/>
                <w:bCs/>
                <w:sz w:val="16"/>
                <w:szCs w:val="16"/>
                <w:lang w:eastAsia="sr-Latn-RS"/>
              </w:rPr>
              <w:t>122</w:t>
            </w:r>
          </w:p>
        </w:tc>
        <w:tc>
          <w:tcPr>
            <w:tcW w:w="1275" w:type="dxa"/>
            <w:shd w:val="clear" w:color="auto" w:fill="548DD4" w:themeFill="text2" w:themeFillTint="99"/>
            <w:vAlign w:val="center"/>
            <w:hideMark/>
          </w:tcPr>
          <w:p w14:paraId="64E0C355" w14:textId="77777777" w:rsidR="00A522F7" w:rsidRPr="00961BDD" w:rsidRDefault="00A522F7" w:rsidP="001163A8">
            <w:pPr>
              <w:jc w:val="right"/>
              <w:rPr>
                <w:rFonts w:asciiTheme="minorHAnsi" w:hAnsiTheme="minorHAnsi"/>
                <w:b/>
                <w:bCs/>
                <w:sz w:val="16"/>
                <w:szCs w:val="16"/>
                <w:lang w:val="sr-Cyrl-RS" w:eastAsia="sr-Latn-RS"/>
              </w:rPr>
            </w:pPr>
            <w:r>
              <w:rPr>
                <w:rFonts w:asciiTheme="minorHAnsi" w:hAnsiTheme="minorHAnsi"/>
                <w:b/>
                <w:bCs/>
                <w:sz w:val="16"/>
                <w:szCs w:val="16"/>
                <w:lang w:eastAsia="sr-Latn-RS"/>
              </w:rPr>
              <w:t>29.762.000,03</w:t>
            </w:r>
          </w:p>
        </w:tc>
        <w:tc>
          <w:tcPr>
            <w:tcW w:w="1276" w:type="dxa"/>
            <w:shd w:val="clear" w:color="auto" w:fill="548DD4" w:themeFill="text2" w:themeFillTint="99"/>
            <w:vAlign w:val="center"/>
            <w:hideMark/>
          </w:tcPr>
          <w:p w14:paraId="1DB27DAE" w14:textId="77777777" w:rsidR="00A522F7" w:rsidRPr="00CC181D" w:rsidRDefault="00A522F7" w:rsidP="001163A8">
            <w:pPr>
              <w:jc w:val="right"/>
              <w:rPr>
                <w:rFonts w:asciiTheme="minorHAnsi" w:hAnsiTheme="minorHAnsi"/>
                <w:b/>
                <w:bCs/>
                <w:sz w:val="16"/>
                <w:szCs w:val="16"/>
                <w:lang w:eastAsia="sr-Latn-RS"/>
              </w:rPr>
            </w:pPr>
            <w:r>
              <w:rPr>
                <w:rFonts w:asciiTheme="minorHAnsi" w:hAnsiTheme="minorHAnsi"/>
                <w:b/>
                <w:bCs/>
                <w:sz w:val="16"/>
                <w:szCs w:val="16"/>
                <w:lang w:eastAsia="sr-Latn-RS"/>
              </w:rPr>
              <w:t>14.881.000,02</w:t>
            </w:r>
          </w:p>
        </w:tc>
        <w:tc>
          <w:tcPr>
            <w:tcW w:w="1276" w:type="dxa"/>
            <w:shd w:val="clear" w:color="auto" w:fill="548DD4" w:themeFill="text2" w:themeFillTint="99"/>
          </w:tcPr>
          <w:p w14:paraId="638C41F8" w14:textId="77777777" w:rsidR="00A522F7" w:rsidRPr="00961BDD" w:rsidRDefault="00A522F7" w:rsidP="00C779CA">
            <w:pPr>
              <w:jc w:val="center"/>
              <w:rPr>
                <w:rFonts w:asciiTheme="minorHAnsi" w:hAnsiTheme="minorHAnsi"/>
                <w:b/>
                <w:bCs/>
                <w:sz w:val="16"/>
                <w:szCs w:val="16"/>
                <w:lang w:val="sr-Cyrl-RS" w:eastAsia="sr-Latn-RS"/>
              </w:rPr>
            </w:pPr>
            <w:r w:rsidRPr="00961BDD">
              <w:rPr>
                <w:rFonts w:asciiTheme="minorHAnsi" w:hAnsiTheme="minorHAnsi"/>
                <w:b/>
                <w:bCs/>
                <w:sz w:val="16"/>
                <w:szCs w:val="16"/>
                <w:lang w:eastAsia="sr-Latn-RS"/>
              </w:rPr>
              <w:t>100%</w:t>
            </w:r>
          </w:p>
        </w:tc>
      </w:tr>
    </w:tbl>
    <w:p w14:paraId="1D87DB63" w14:textId="77777777" w:rsidR="001538EF" w:rsidRPr="008307BD" w:rsidRDefault="001538EF" w:rsidP="001538EF">
      <w:pPr>
        <w:pStyle w:val="Default"/>
        <w:ind w:left="1416" w:hanging="1416"/>
        <w:jc w:val="both"/>
        <w:rPr>
          <w:rFonts w:asciiTheme="minorHAnsi" w:hAnsiTheme="minorHAnsi" w:cs="Times New Roman"/>
          <w:color w:val="auto"/>
          <w:sz w:val="18"/>
          <w:szCs w:val="18"/>
          <w:lang w:val="sr-Cyrl-BA"/>
        </w:rPr>
      </w:pPr>
    </w:p>
    <w:p w14:paraId="7FF81B82" w14:textId="77777777" w:rsidR="001538EF" w:rsidRDefault="00036827"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Sa 4 finansijska posrednika navedena u tabeli 11 je ugovoren plasman 135.000.000,00 KM kreditnih sredstava uz maksimalnu garanciju u iznosu od 33.750.000,00 KM, odnosno 25% izloženosti na nivou portfelja. Ugovorena stopa garantovanog iznosa po pojedinačnom kreditu u okviru portfelja je 50%. Tokom 2023. godine su plasirane 122 garancije u iznosu od 14.881.000,02 KM, čime su podržani plasmani finansijskih posrednika u iznosu od 29.762.000,00 KM. Stopa realizacije ugovorenog iznosa tokom 2023. godine je 22,04%.</w:t>
      </w:r>
    </w:p>
    <w:p w14:paraId="6C44536B" w14:textId="77777777" w:rsidR="0073303C" w:rsidRDefault="0073303C" w:rsidP="00585AD3">
      <w:pPr>
        <w:pStyle w:val="Default"/>
        <w:jc w:val="both"/>
        <w:rPr>
          <w:rFonts w:asciiTheme="minorHAnsi" w:hAnsiTheme="minorHAnsi" w:cs="Times New Roman"/>
          <w:color w:val="auto"/>
          <w:sz w:val="20"/>
          <w:szCs w:val="20"/>
          <w:lang w:val="sr-Cyrl-BA"/>
        </w:rPr>
      </w:pPr>
    </w:p>
    <w:p w14:paraId="14412031" w14:textId="77777777" w:rsidR="00210D8B" w:rsidRDefault="00585AD3"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 xml:space="preserve">Najveću aktivnost tokom 2023. godine je imala PROCREDIT banka, koja je plasirala 91 kredit u iznosu od 25.234.000,03 KM, uz garancije u iznosu od 12.617.000,00 KM. U okviru opšteg portfelja je plasirano 85 kredita u iznosu od 22.059.000,01 KM, dok je u okviru portfelja za obnovljive izvore energije plasirano 6 kredita u iznosu od 3.175.000,02 KM. Učešće ove banke u ukupno izdanim garancijama u okviru kreditnog portfelja tokom 2023. godine je 84,79%. </w:t>
      </w:r>
    </w:p>
    <w:p w14:paraId="217CB612" w14:textId="77777777" w:rsidR="00210D8B" w:rsidRDefault="00210D8B" w:rsidP="00585AD3">
      <w:pPr>
        <w:pStyle w:val="Default"/>
        <w:jc w:val="both"/>
        <w:rPr>
          <w:rFonts w:asciiTheme="minorHAnsi" w:hAnsiTheme="minorHAnsi" w:cs="Times New Roman"/>
          <w:color w:val="auto"/>
          <w:sz w:val="20"/>
          <w:szCs w:val="20"/>
          <w:lang w:val="sr-Cyrl-BA"/>
        </w:rPr>
      </w:pPr>
    </w:p>
    <w:p w14:paraId="486181D7" w14:textId="77777777" w:rsidR="00210D8B" w:rsidRDefault="00D24503"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 xml:space="preserve">MF banka i UNICREDIT banka su imale učešće od 7,21%, odnosno 8,01% u ukupno plasiranim sredstvima tokom 2023. godine. MF banka je plasirala 18 kredita u iznosu od 2.145.000,00 KM, dok je UNICREDIT banka plasirala 13 kredita ukupnog iznosa 2.383.000,00 KM. Ni jedna ni druga banka nisu imale kreditnu aktivnost u okviru portfelja za energetsku efikasnost. </w:t>
      </w:r>
    </w:p>
    <w:p w14:paraId="5FBF02E0" w14:textId="77777777" w:rsidR="00210D8B" w:rsidRDefault="00210D8B" w:rsidP="00585AD3">
      <w:pPr>
        <w:pStyle w:val="Default"/>
        <w:jc w:val="both"/>
        <w:rPr>
          <w:rFonts w:asciiTheme="minorHAnsi" w:hAnsiTheme="minorHAnsi" w:cs="Times New Roman"/>
          <w:color w:val="auto"/>
          <w:sz w:val="20"/>
          <w:szCs w:val="20"/>
          <w:lang w:val="sr-Cyrl-BA"/>
        </w:rPr>
      </w:pPr>
    </w:p>
    <w:p w14:paraId="3DDE2930" w14:textId="77777777" w:rsidR="00B769DD" w:rsidRDefault="00D24503" w:rsidP="00585AD3">
      <w:pPr>
        <w:pStyle w:val="Default"/>
        <w:jc w:val="both"/>
        <w:rPr>
          <w:rFonts w:asciiTheme="minorHAnsi" w:hAnsiTheme="minorHAnsi" w:cs="Times New Roman"/>
          <w:color w:val="auto"/>
          <w:sz w:val="20"/>
          <w:szCs w:val="20"/>
          <w:lang w:val="sr-Cyrl-BA"/>
        </w:rPr>
      </w:pPr>
      <w:r w:rsidRPr="00D24503">
        <w:rPr>
          <w:rFonts w:asciiTheme="minorHAnsi" w:hAnsiTheme="minorHAnsi" w:cs="Times New Roman"/>
          <w:color w:val="auto"/>
          <w:sz w:val="20"/>
          <w:szCs w:val="20"/>
        </w:rPr>
        <w:t>SPARKASSE banka nije imala plasmane tokom godine, što je i očekivano, s obzirom da je ugovor o garantovanju potpisan u desetom mjesecu 2023.  godine.</w:t>
      </w:r>
    </w:p>
    <w:p w14:paraId="0EDED9CD" w14:textId="77777777" w:rsidR="009342FB" w:rsidRPr="005767EF" w:rsidRDefault="009342FB" w:rsidP="009342FB">
      <w:pPr>
        <w:pStyle w:val="Default"/>
        <w:jc w:val="both"/>
        <w:rPr>
          <w:rFonts w:asciiTheme="minorHAnsi" w:hAnsiTheme="minorHAnsi" w:cs="Times New Roman"/>
          <w:color w:val="auto"/>
          <w:sz w:val="20"/>
          <w:szCs w:val="20"/>
          <w:lang w:val="sr-Cyrl-BA"/>
        </w:rPr>
      </w:pPr>
    </w:p>
    <w:p w14:paraId="16564C44" w14:textId="77777777" w:rsidR="001538EF" w:rsidRPr="005767EF" w:rsidRDefault="001538EF" w:rsidP="001538EF">
      <w:pPr>
        <w:jc w:val="center"/>
        <w:rPr>
          <w:rFonts w:asciiTheme="minorHAnsi" w:hAnsiTheme="minorHAnsi"/>
          <w:sz w:val="20"/>
          <w:szCs w:val="20"/>
        </w:rPr>
      </w:pPr>
      <w:r w:rsidRPr="005767EF">
        <w:rPr>
          <w:rFonts w:asciiTheme="minorHAnsi" w:hAnsiTheme="minorHAnsi"/>
          <w:b/>
          <w:bCs/>
          <w:sz w:val="20"/>
          <w:szCs w:val="20"/>
          <w:lang w:eastAsia="sr-Latn-RS"/>
        </w:rPr>
        <w:t>Pregled izdanih garancija u okviru kreditnog portfelja po djelatnostima u periodu 01.01.2023. - 31.12.2023. godine</w:t>
      </w:r>
    </w:p>
    <w:p w14:paraId="07B8886D" w14:textId="77777777" w:rsidR="001538EF" w:rsidRPr="009342FB" w:rsidRDefault="001538EF" w:rsidP="009342FB">
      <w:pPr>
        <w:jc w:val="left"/>
        <w:rPr>
          <w:rFonts w:asciiTheme="minorHAnsi" w:hAnsiTheme="minorHAnsi"/>
          <w:b/>
          <w:bCs/>
          <w:sz w:val="20"/>
          <w:szCs w:val="20"/>
          <w:lang w:val="sr-Cyrl-RS" w:eastAsia="sr-Latn-RS"/>
        </w:rPr>
      </w:pPr>
      <w:r w:rsidRPr="005767EF">
        <w:rPr>
          <w:rFonts w:asciiTheme="minorHAnsi" w:hAnsiTheme="minorHAnsi"/>
          <w:b/>
          <w:bCs/>
          <w:sz w:val="20"/>
          <w:szCs w:val="20"/>
          <w:lang w:eastAsia="sr-Latn-RS"/>
        </w:rPr>
        <w:t xml:space="preserve">                                                                                                                             </w:t>
      </w:r>
      <w:r w:rsidR="009342FB">
        <w:rPr>
          <w:rFonts w:asciiTheme="minorHAnsi" w:hAnsiTheme="minorHAnsi"/>
          <w:b/>
          <w:bCs/>
          <w:sz w:val="20"/>
          <w:szCs w:val="20"/>
          <w:lang w:eastAsia="sr-Latn-RS"/>
        </w:rPr>
        <w:t xml:space="preserve">                              </w:t>
      </w:r>
    </w:p>
    <w:p w14:paraId="4D566828" w14:textId="77777777" w:rsidR="001538EF" w:rsidRPr="009342FB" w:rsidRDefault="001538EF" w:rsidP="009342FB">
      <w:pPr>
        <w:pStyle w:val="Default"/>
        <w:ind w:left="1416" w:hanging="1416"/>
        <w:jc w:val="both"/>
        <w:rPr>
          <w:rFonts w:asciiTheme="minorHAnsi" w:hAnsiTheme="minorHAnsi" w:cs="Times New Roman"/>
          <w:b/>
          <w:color w:val="auto"/>
          <w:sz w:val="20"/>
          <w:szCs w:val="20"/>
          <w:lang w:val="sr-Cyrl-BA"/>
        </w:rPr>
      </w:pP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r>
      <w:r w:rsidRPr="005767EF">
        <w:rPr>
          <w:rFonts w:asciiTheme="minorHAnsi" w:hAnsiTheme="minorHAnsi" w:cs="Times New Roman"/>
          <w:color w:val="auto"/>
          <w:sz w:val="20"/>
          <w:szCs w:val="20"/>
        </w:rPr>
        <w:tab/>
        <w:t xml:space="preserve">                  </w:t>
      </w:r>
      <w:r w:rsidR="009342FB">
        <w:rPr>
          <w:rFonts w:asciiTheme="minorHAnsi" w:hAnsiTheme="minorHAnsi" w:cs="Times New Roman"/>
          <w:b/>
          <w:color w:val="auto"/>
          <w:sz w:val="20"/>
          <w:szCs w:val="20"/>
        </w:rPr>
        <w:t>Tabela 10</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
        <w:gridCol w:w="3784"/>
        <w:gridCol w:w="933"/>
        <w:gridCol w:w="1494"/>
        <w:gridCol w:w="1300"/>
        <w:gridCol w:w="1276"/>
      </w:tblGrid>
      <w:tr w:rsidR="00D77E84" w:rsidRPr="005767EF" w14:paraId="0F22EF45" w14:textId="77777777" w:rsidTr="008A3C49">
        <w:trPr>
          <w:gridBefore w:val="1"/>
          <w:wBefore w:w="17" w:type="dxa"/>
          <w:trHeight w:val="822"/>
        </w:trPr>
        <w:tc>
          <w:tcPr>
            <w:tcW w:w="3784" w:type="dxa"/>
            <w:shd w:val="clear" w:color="auto" w:fill="548DD4" w:themeFill="text2" w:themeFillTint="99"/>
            <w:vAlign w:val="center"/>
            <w:hideMark/>
          </w:tcPr>
          <w:p w14:paraId="06E6A6F8" w14:textId="529F221F" w:rsidR="00D77E84" w:rsidRPr="00B414B5" w:rsidRDefault="00E3322B" w:rsidP="001538EF">
            <w:pPr>
              <w:jc w:val="center"/>
              <w:rPr>
                <w:rFonts w:asciiTheme="minorHAnsi" w:hAnsiTheme="minorHAnsi"/>
                <w:b/>
                <w:sz w:val="18"/>
                <w:szCs w:val="18"/>
                <w:lang w:val="sr-Latn-RS" w:eastAsia="sr-Latn-RS"/>
              </w:rPr>
            </w:pPr>
            <w:r>
              <w:rPr>
                <w:rFonts w:asciiTheme="minorHAnsi" w:hAnsiTheme="minorHAnsi"/>
                <w:b/>
                <w:sz w:val="18"/>
                <w:szCs w:val="18"/>
                <w:lang w:eastAsia="sr-Latn-RS"/>
              </w:rPr>
              <w:t>Djelatnost</w:t>
            </w:r>
          </w:p>
        </w:tc>
        <w:tc>
          <w:tcPr>
            <w:tcW w:w="933" w:type="dxa"/>
            <w:shd w:val="clear" w:color="auto" w:fill="548DD4" w:themeFill="text2" w:themeFillTint="99"/>
            <w:vAlign w:val="center"/>
            <w:hideMark/>
          </w:tcPr>
          <w:p w14:paraId="59A022CD" w14:textId="5DAB8F66" w:rsidR="00D77E84" w:rsidRPr="00B414B5" w:rsidRDefault="00D77E84" w:rsidP="001538EF">
            <w:pPr>
              <w:jc w:val="center"/>
              <w:rPr>
                <w:rFonts w:asciiTheme="minorHAnsi" w:hAnsiTheme="minorHAnsi"/>
                <w:b/>
                <w:sz w:val="18"/>
                <w:szCs w:val="18"/>
                <w:lang w:val="sr-Latn-RS" w:eastAsia="sr-Latn-RS"/>
              </w:rPr>
            </w:pPr>
            <w:r w:rsidRPr="00B414B5">
              <w:rPr>
                <w:rFonts w:asciiTheme="minorHAnsi" w:hAnsiTheme="minorHAnsi"/>
                <w:b/>
                <w:sz w:val="18"/>
                <w:szCs w:val="18"/>
                <w:lang w:eastAsia="sr-Latn-RS"/>
              </w:rPr>
              <w:t>Broj</w:t>
            </w:r>
            <w:r w:rsidR="00E3322B">
              <w:rPr>
                <w:rFonts w:asciiTheme="minorHAnsi" w:hAnsiTheme="minorHAnsi"/>
                <w:b/>
                <w:sz w:val="18"/>
                <w:szCs w:val="18"/>
                <w:lang w:eastAsia="sr-Latn-RS"/>
              </w:rPr>
              <w:t xml:space="preserve"> kredita</w:t>
            </w:r>
          </w:p>
        </w:tc>
        <w:tc>
          <w:tcPr>
            <w:tcW w:w="1494" w:type="dxa"/>
            <w:shd w:val="clear" w:color="auto" w:fill="548DD4" w:themeFill="text2" w:themeFillTint="99"/>
            <w:vAlign w:val="center"/>
            <w:hideMark/>
          </w:tcPr>
          <w:p w14:paraId="6F6400D7" w14:textId="4C8107F8" w:rsidR="00D77E84" w:rsidRPr="00B414B5" w:rsidRDefault="00D77E84" w:rsidP="001538EF">
            <w:pPr>
              <w:jc w:val="center"/>
              <w:rPr>
                <w:rFonts w:asciiTheme="minorHAnsi" w:hAnsiTheme="minorHAnsi"/>
                <w:b/>
                <w:sz w:val="18"/>
                <w:szCs w:val="18"/>
                <w:lang w:val="sr-Latn-RS" w:eastAsia="sr-Latn-RS"/>
              </w:rPr>
            </w:pPr>
            <w:r w:rsidRPr="00B414B5">
              <w:rPr>
                <w:rFonts w:asciiTheme="minorHAnsi" w:hAnsiTheme="minorHAnsi"/>
                <w:b/>
                <w:sz w:val="18"/>
                <w:szCs w:val="18"/>
                <w:lang w:eastAsia="sr-Latn-RS"/>
              </w:rPr>
              <w:t>P</w:t>
            </w:r>
            <w:r w:rsidR="00E3322B">
              <w:rPr>
                <w:rFonts w:asciiTheme="minorHAnsi" w:hAnsiTheme="minorHAnsi"/>
                <w:b/>
                <w:sz w:val="18"/>
                <w:szCs w:val="18"/>
                <w:lang w:eastAsia="sr-Latn-RS"/>
              </w:rPr>
              <w:t>lasirana sredstva</w:t>
            </w:r>
          </w:p>
        </w:tc>
        <w:tc>
          <w:tcPr>
            <w:tcW w:w="1300" w:type="dxa"/>
            <w:shd w:val="clear" w:color="auto" w:fill="548DD4" w:themeFill="text2" w:themeFillTint="99"/>
            <w:vAlign w:val="center"/>
            <w:hideMark/>
          </w:tcPr>
          <w:p w14:paraId="6A81274C" w14:textId="77777777" w:rsidR="00D77E84" w:rsidRPr="00B414B5" w:rsidRDefault="00D77E84" w:rsidP="001538EF">
            <w:pPr>
              <w:jc w:val="center"/>
              <w:rPr>
                <w:rFonts w:asciiTheme="minorHAnsi" w:hAnsiTheme="minorHAnsi"/>
                <w:b/>
                <w:sz w:val="18"/>
                <w:szCs w:val="18"/>
                <w:lang w:val="sr-Latn-RS" w:eastAsia="sr-Latn-RS"/>
              </w:rPr>
            </w:pPr>
            <w:r w:rsidRPr="00B414B5">
              <w:rPr>
                <w:rFonts w:asciiTheme="minorHAnsi" w:hAnsiTheme="minorHAnsi"/>
                <w:b/>
                <w:sz w:val="18"/>
                <w:szCs w:val="18"/>
                <w:lang w:eastAsia="sr-Latn-RS"/>
              </w:rPr>
              <w:t>Iznos garancije</w:t>
            </w:r>
          </w:p>
        </w:tc>
        <w:tc>
          <w:tcPr>
            <w:tcW w:w="1276" w:type="dxa"/>
            <w:shd w:val="clear" w:color="auto" w:fill="548DD4" w:themeFill="text2" w:themeFillTint="99"/>
          </w:tcPr>
          <w:p w14:paraId="77CD7DBA" w14:textId="77777777" w:rsidR="00D77E84" w:rsidRDefault="00D77E84" w:rsidP="001538EF">
            <w:pPr>
              <w:jc w:val="center"/>
              <w:rPr>
                <w:rFonts w:asciiTheme="minorHAnsi" w:hAnsiTheme="minorHAnsi"/>
                <w:b/>
                <w:sz w:val="18"/>
                <w:szCs w:val="18"/>
                <w:lang w:val="sr-Cyrl-RS" w:eastAsia="sr-Latn-RS"/>
              </w:rPr>
            </w:pPr>
          </w:p>
          <w:p w14:paraId="215D30B9" w14:textId="77777777" w:rsidR="00D77E84" w:rsidRPr="00D77E84" w:rsidRDefault="00D77E84" w:rsidP="001538EF">
            <w:pPr>
              <w:jc w:val="center"/>
              <w:rPr>
                <w:rFonts w:asciiTheme="minorHAnsi" w:hAnsiTheme="minorHAnsi"/>
                <w:b/>
                <w:sz w:val="18"/>
                <w:szCs w:val="18"/>
                <w:lang w:val="sr-Cyrl-RS" w:eastAsia="sr-Latn-RS"/>
              </w:rPr>
            </w:pPr>
            <w:r>
              <w:rPr>
                <w:rFonts w:asciiTheme="minorHAnsi" w:hAnsiTheme="minorHAnsi"/>
                <w:b/>
                <w:sz w:val="18"/>
                <w:szCs w:val="18"/>
                <w:lang w:eastAsia="sr-Latn-RS"/>
              </w:rPr>
              <w:t>Učešće u ukupno izdanim garancijama</w:t>
            </w:r>
          </w:p>
        </w:tc>
      </w:tr>
      <w:tr w:rsidR="00034E5A" w:rsidRPr="009342FB" w14:paraId="508DEBA4" w14:textId="77777777" w:rsidTr="008A3C49">
        <w:trPr>
          <w:trHeight w:val="353"/>
        </w:trPr>
        <w:tc>
          <w:tcPr>
            <w:tcW w:w="3801" w:type="dxa"/>
            <w:gridSpan w:val="2"/>
            <w:shd w:val="clear" w:color="auto" w:fill="auto"/>
            <w:vAlign w:val="center"/>
            <w:hideMark/>
          </w:tcPr>
          <w:p w14:paraId="4A41D72C"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Prerađivačka industrija</w:t>
            </w:r>
          </w:p>
        </w:tc>
        <w:tc>
          <w:tcPr>
            <w:tcW w:w="933" w:type="dxa"/>
            <w:shd w:val="clear" w:color="auto" w:fill="auto"/>
            <w:vAlign w:val="center"/>
            <w:hideMark/>
          </w:tcPr>
          <w:p w14:paraId="5AE89A29" w14:textId="77777777" w:rsidR="00034E5A" w:rsidRPr="009342FB" w:rsidRDefault="00034E5A" w:rsidP="0066469A">
            <w:pPr>
              <w:jc w:val="center"/>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49</w:t>
            </w:r>
          </w:p>
        </w:tc>
        <w:tc>
          <w:tcPr>
            <w:tcW w:w="1494" w:type="dxa"/>
            <w:shd w:val="clear" w:color="auto" w:fill="auto"/>
            <w:vAlign w:val="center"/>
            <w:hideMark/>
          </w:tcPr>
          <w:p w14:paraId="286EF54E" w14:textId="77777777" w:rsidR="00034E5A" w:rsidRPr="009342FB" w:rsidRDefault="00034E5A" w:rsidP="0066469A">
            <w:pPr>
              <w:jc w:val="right"/>
              <w:rPr>
                <w:rFonts w:asciiTheme="minorHAnsi" w:hAnsiTheme="minorHAnsi" w:cs="Microsoft Sans Serif"/>
                <w:bCs/>
                <w:color w:val="auto"/>
                <w:sz w:val="18"/>
                <w:szCs w:val="18"/>
                <w:lang w:val="sr-Cyrl-RS"/>
              </w:rPr>
            </w:pPr>
            <w:r w:rsidRPr="00B414B5">
              <w:rPr>
                <w:rFonts w:asciiTheme="minorHAnsi" w:hAnsiTheme="minorHAnsi" w:cs="Microsoft Sans Serif"/>
                <w:bCs/>
                <w:color w:val="auto"/>
                <w:sz w:val="18"/>
                <w:szCs w:val="18"/>
              </w:rPr>
              <w:t>14.883.000,03</w:t>
            </w:r>
          </w:p>
        </w:tc>
        <w:tc>
          <w:tcPr>
            <w:tcW w:w="1300" w:type="dxa"/>
            <w:shd w:val="clear" w:color="auto" w:fill="auto"/>
            <w:vAlign w:val="center"/>
            <w:hideMark/>
          </w:tcPr>
          <w:p w14:paraId="43C58614" w14:textId="77777777" w:rsidR="00034E5A" w:rsidRPr="009342FB"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7.441.500,01</w:t>
            </w:r>
          </w:p>
        </w:tc>
        <w:tc>
          <w:tcPr>
            <w:tcW w:w="1276" w:type="dxa"/>
            <w:vAlign w:val="center"/>
          </w:tcPr>
          <w:p w14:paraId="0BB597D1" w14:textId="77777777" w:rsidR="00034E5A" w:rsidRDefault="00034E5A">
            <w:pPr>
              <w:jc w:val="right"/>
              <w:rPr>
                <w:rFonts w:ascii="Calibri" w:hAnsi="Calibri" w:cs="Arial"/>
                <w:sz w:val="18"/>
                <w:szCs w:val="18"/>
              </w:rPr>
            </w:pPr>
            <w:r>
              <w:rPr>
                <w:rFonts w:ascii="Calibri" w:hAnsi="Calibri" w:cs="Arial"/>
                <w:sz w:val="18"/>
                <w:szCs w:val="18"/>
              </w:rPr>
              <w:t>50,00%</w:t>
            </w:r>
          </w:p>
        </w:tc>
      </w:tr>
      <w:tr w:rsidR="00034E5A" w:rsidRPr="009342FB" w14:paraId="1AFF496B" w14:textId="77777777" w:rsidTr="008A3C49">
        <w:trPr>
          <w:trHeight w:val="561"/>
        </w:trPr>
        <w:tc>
          <w:tcPr>
            <w:tcW w:w="3801" w:type="dxa"/>
            <w:gridSpan w:val="2"/>
            <w:shd w:val="clear" w:color="auto" w:fill="auto"/>
            <w:vAlign w:val="center"/>
            <w:hideMark/>
          </w:tcPr>
          <w:p w14:paraId="6F95CDB0" w14:textId="12E70488" w:rsidR="00034E5A" w:rsidRPr="009342FB" w:rsidRDefault="005E590F" w:rsidP="0066469A">
            <w:pPr>
              <w:jc w:val="left"/>
              <w:rPr>
                <w:rFonts w:asciiTheme="minorHAnsi" w:hAnsiTheme="minorHAnsi" w:cs="Arial"/>
                <w:bCs/>
                <w:color w:val="auto"/>
                <w:sz w:val="18"/>
                <w:szCs w:val="18"/>
              </w:rPr>
            </w:pPr>
            <w:r>
              <w:rPr>
                <w:rFonts w:asciiTheme="minorHAnsi" w:hAnsiTheme="minorHAnsi" w:cs="Arial"/>
                <w:bCs/>
                <w:color w:val="auto"/>
                <w:sz w:val="18"/>
                <w:szCs w:val="18"/>
              </w:rPr>
              <w:t>T</w:t>
            </w:r>
            <w:r w:rsidR="00034E5A" w:rsidRPr="009342FB">
              <w:rPr>
                <w:rFonts w:asciiTheme="minorHAnsi" w:hAnsiTheme="minorHAnsi" w:cs="Arial"/>
                <w:bCs/>
                <w:color w:val="auto"/>
                <w:sz w:val="18"/>
                <w:szCs w:val="18"/>
              </w:rPr>
              <w:t>rgovina na veliko i</w:t>
            </w:r>
            <w:r>
              <w:rPr>
                <w:rFonts w:asciiTheme="minorHAnsi" w:hAnsiTheme="minorHAnsi" w:cs="Arial"/>
                <w:bCs/>
                <w:color w:val="auto"/>
                <w:sz w:val="18"/>
                <w:szCs w:val="18"/>
              </w:rPr>
              <w:t xml:space="preserve"> na malo</w:t>
            </w:r>
            <w:r w:rsidR="00034E5A" w:rsidRPr="009342FB">
              <w:rPr>
                <w:rFonts w:asciiTheme="minorHAnsi" w:hAnsiTheme="minorHAnsi" w:cs="Arial"/>
                <w:bCs/>
                <w:color w:val="auto"/>
                <w:sz w:val="18"/>
                <w:szCs w:val="18"/>
              </w:rPr>
              <w:t>; popravka motornih vozila i motocikala</w:t>
            </w:r>
          </w:p>
        </w:tc>
        <w:tc>
          <w:tcPr>
            <w:tcW w:w="933" w:type="dxa"/>
            <w:shd w:val="clear" w:color="auto" w:fill="auto"/>
            <w:vAlign w:val="center"/>
            <w:hideMark/>
          </w:tcPr>
          <w:p w14:paraId="6100D458"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22</w:t>
            </w:r>
          </w:p>
        </w:tc>
        <w:tc>
          <w:tcPr>
            <w:tcW w:w="1494" w:type="dxa"/>
            <w:shd w:val="clear" w:color="auto" w:fill="auto"/>
            <w:vAlign w:val="center"/>
            <w:hideMark/>
          </w:tcPr>
          <w:p w14:paraId="77DF1419"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4.415.000,00</w:t>
            </w:r>
          </w:p>
        </w:tc>
        <w:tc>
          <w:tcPr>
            <w:tcW w:w="1300" w:type="dxa"/>
            <w:shd w:val="clear" w:color="auto" w:fill="auto"/>
            <w:vAlign w:val="center"/>
            <w:hideMark/>
          </w:tcPr>
          <w:p w14:paraId="44130502"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2.207.500,00</w:t>
            </w:r>
          </w:p>
        </w:tc>
        <w:tc>
          <w:tcPr>
            <w:tcW w:w="1276" w:type="dxa"/>
            <w:vAlign w:val="center"/>
          </w:tcPr>
          <w:p w14:paraId="28B3F65E" w14:textId="77777777" w:rsidR="00034E5A" w:rsidRDefault="00034E5A">
            <w:pPr>
              <w:jc w:val="right"/>
              <w:rPr>
                <w:rFonts w:ascii="Calibri" w:hAnsi="Calibri" w:cs="Arial"/>
                <w:sz w:val="18"/>
                <w:szCs w:val="18"/>
              </w:rPr>
            </w:pPr>
            <w:r>
              <w:rPr>
                <w:rFonts w:ascii="Calibri" w:hAnsi="Calibri" w:cs="Arial"/>
                <w:sz w:val="18"/>
                <w:szCs w:val="18"/>
              </w:rPr>
              <w:t>14,83%</w:t>
            </w:r>
          </w:p>
        </w:tc>
      </w:tr>
      <w:tr w:rsidR="00034E5A" w:rsidRPr="009342FB" w14:paraId="0A9E6C89" w14:textId="77777777" w:rsidTr="008A3C49">
        <w:trPr>
          <w:trHeight w:val="252"/>
        </w:trPr>
        <w:tc>
          <w:tcPr>
            <w:tcW w:w="3801" w:type="dxa"/>
            <w:gridSpan w:val="2"/>
            <w:shd w:val="clear" w:color="auto" w:fill="auto"/>
            <w:vAlign w:val="center"/>
          </w:tcPr>
          <w:p w14:paraId="4EB05C78"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Saobraćaj i skladištenje</w:t>
            </w:r>
          </w:p>
        </w:tc>
        <w:tc>
          <w:tcPr>
            <w:tcW w:w="933" w:type="dxa"/>
            <w:shd w:val="clear" w:color="auto" w:fill="auto"/>
            <w:vAlign w:val="center"/>
          </w:tcPr>
          <w:p w14:paraId="5ED85630" w14:textId="77777777" w:rsidR="00034E5A" w:rsidRPr="009342FB" w:rsidRDefault="00034E5A" w:rsidP="0066469A">
            <w:pPr>
              <w:jc w:val="center"/>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18</w:t>
            </w:r>
          </w:p>
        </w:tc>
        <w:tc>
          <w:tcPr>
            <w:tcW w:w="1494" w:type="dxa"/>
            <w:shd w:val="clear" w:color="auto" w:fill="auto"/>
            <w:vAlign w:val="center"/>
          </w:tcPr>
          <w:p w14:paraId="2C6F4D2D" w14:textId="77777777" w:rsidR="00034E5A" w:rsidRPr="009342FB" w:rsidRDefault="00034E5A" w:rsidP="0066469A">
            <w:pPr>
              <w:jc w:val="right"/>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2.874.999,99</w:t>
            </w:r>
          </w:p>
        </w:tc>
        <w:tc>
          <w:tcPr>
            <w:tcW w:w="1300" w:type="dxa"/>
            <w:shd w:val="clear" w:color="auto" w:fill="auto"/>
            <w:vAlign w:val="center"/>
          </w:tcPr>
          <w:p w14:paraId="44F073BD" w14:textId="77777777" w:rsidR="00034E5A" w:rsidRPr="009342FB" w:rsidRDefault="00034E5A" w:rsidP="0066469A">
            <w:pPr>
              <w:jc w:val="right"/>
              <w:rPr>
                <w:rFonts w:asciiTheme="minorHAnsi" w:hAnsiTheme="minorHAnsi" w:cs="Microsoft Sans Serif"/>
                <w:bCs/>
                <w:color w:val="auto"/>
                <w:sz w:val="18"/>
                <w:szCs w:val="18"/>
                <w:lang w:val="sr-Cyrl-RS"/>
              </w:rPr>
            </w:pPr>
            <w:r w:rsidRPr="009342FB">
              <w:rPr>
                <w:rFonts w:asciiTheme="minorHAnsi" w:hAnsiTheme="minorHAnsi" w:cs="Microsoft Sans Serif"/>
                <w:bCs/>
                <w:color w:val="auto"/>
                <w:sz w:val="18"/>
                <w:szCs w:val="18"/>
              </w:rPr>
              <w:t>1.437.500,00</w:t>
            </w:r>
          </w:p>
        </w:tc>
        <w:tc>
          <w:tcPr>
            <w:tcW w:w="1276" w:type="dxa"/>
            <w:vAlign w:val="center"/>
          </w:tcPr>
          <w:p w14:paraId="579502EF" w14:textId="77777777" w:rsidR="00034E5A" w:rsidRDefault="00034E5A">
            <w:pPr>
              <w:jc w:val="right"/>
              <w:rPr>
                <w:rFonts w:ascii="Calibri" w:hAnsi="Calibri" w:cs="Arial"/>
                <w:sz w:val="18"/>
                <w:szCs w:val="18"/>
              </w:rPr>
            </w:pPr>
            <w:r>
              <w:rPr>
                <w:rFonts w:ascii="Calibri" w:hAnsi="Calibri" w:cs="Arial"/>
                <w:sz w:val="18"/>
                <w:szCs w:val="18"/>
              </w:rPr>
              <w:t>9,66%</w:t>
            </w:r>
          </w:p>
        </w:tc>
      </w:tr>
      <w:tr w:rsidR="00034E5A" w14:paraId="2D826D79" w14:textId="77777777" w:rsidTr="008A3C49">
        <w:trPr>
          <w:trHeight w:val="323"/>
        </w:trPr>
        <w:tc>
          <w:tcPr>
            <w:tcW w:w="3801" w:type="dxa"/>
            <w:gridSpan w:val="2"/>
            <w:shd w:val="clear" w:color="auto" w:fill="auto"/>
            <w:vAlign w:val="center"/>
            <w:hideMark/>
          </w:tcPr>
          <w:p w14:paraId="7AB671D9"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Informacije i komunikacije</w:t>
            </w:r>
          </w:p>
        </w:tc>
        <w:tc>
          <w:tcPr>
            <w:tcW w:w="933" w:type="dxa"/>
            <w:shd w:val="clear" w:color="auto" w:fill="auto"/>
            <w:vAlign w:val="center"/>
            <w:hideMark/>
          </w:tcPr>
          <w:p w14:paraId="443A86DF"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w:t>
            </w:r>
          </w:p>
        </w:tc>
        <w:tc>
          <w:tcPr>
            <w:tcW w:w="1494" w:type="dxa"/>
            <w:shd w:val="clear" w:color="auto" w:fill="auto"/>
            <w:vAlign w:val="center"/>
            <w:hideMark/>
          </w:tcPr>
          <w:p w14:paraId="1454E85D"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1.620.000,00</w:t>
            </w:r>
          </w:p>
        </w:tc>
        <w:tc>
          <w:tcPr>
            <w:tcW w:w="1300" w:type="dxa"/>
            <w:shd w:val="clear" w:color="auto" w:fill="auto"/>
            <w:vAlign w:val="center"/>
            <w:hideMark/>
          </w:tcPr>
          <w:p w14:paraId="1862F8FA"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810.000,00</w:t>
            </w:r>
          </w:p>
        </w:tc>
        <w:tc>
          <w:tcPr>
            <w:tcW w:w="1276" w:type="dxa"/>
            <w:vAlign w:val="center"/>
          </w:tcPr>
          <w:p w14:paraId="27F64359" w14:textId="77777777" w:rsidR="00034E5A" w:rsidRDefault="00034E5A">
            <w:pPr>
              <w:jc w:val="right"/>
              <w:rPr>
                <w:rFonts w:ascii="Calibri" w:hAnsi="Calibri" w:cs="Arial"/>
                <w:sz w:val="18"/>
                <w:szCs w:val="18"/>
              </w:rPr>
            </w:pPr>
            <w:r>
              <w:rPr>
                <w:rFonts w:ascii="Calibri" w:hAnsi="Calibri" w:cs="Arial"/>
                <w:sz w:val="18"/>
                <w:szCs w:val="18"/>
              </w:rPr>
              <w:t>5,44%</w:t>
            </w:r>
          </w:p>
        </w:tc>
      </w:tr>
      <w:tr w:rsidR="00034E5A" w:rsidRPr="009342FB" w14:paraId="130D26F9" w14:textId="77777777" w:rsidTr="008A3C49">
        <w:trPr>
          <w:trHeight w:val="252"/>
        </w:trPr>
        <w:tc>
          <w:tcPr>
            <w:tcW w:w="3801" w:type="dxa"/>
            <w:gridSpan w:val="2"/>
            <w:shd w:val="clear" w:color="auto" w:fill="auto"/>
            <w:vAlign w:val="center"/>
            <w:hideMark/>
          </w:tcPr>
          <w:p w14:paraId="7FAE8103" w14:textId="77777777" w:rsidR="00034E5A" w:rsidRPr="009342FB" w:rsidRDefault="00034E5A" w:rsidP="009342FB">
            <w:pPr>
              <w:jc w:val="left"/>
              <w:rPr>
                <w:rFonts w:asciiTheme="minorHAnsi" w:hAnsiTheme="minorHAnsi" w:cs="Arial"/>
                <w:bCs/>
                <w:color w:val="auto"/>
                <w:sz w:val="18"/>
                <w:szCs w:val="18"/>
              </w:rPr>
            </w:pPr>
            <w:r w:rsidRPr="009342FB">
              <w:rPr>
                <w:rFonts w:asciiTheme="minorHAnsi" w:hAnsiTheme="minorHAnsi" w:cs="Arial"/>
                <w:bCs/>
                <w:color w:val="auto"/>
                <w:sz w:val="18"/>
                <w:szCs w:val="18"/>
              </w:rPr>
              <w:t>Građevinarstvo</w:t>
            </w:r>
          </w:p>
        </w:tc>
        <w:tc>
          <w:tcPr>
            <w:tcW w:w="933" w:type="dxa"/>
            <w:shd w:val="clear" w:color="auto" w:fill="auto"/>
            <w:vAlign w:val="center"/>
            <w:hideMark/>
          </w:tcPr>
          <w:p w14:paraId="649849EC"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4</w:t>
            </w:r>
          </w:p>
        </w:tc>
        <w:tc>
          <w:tcPr>
            <w:tcW w:w="1494" w:type="dxa"/>
            <w:shd w:val="clear" w:color="auto" w:fill="auto"/>
            <w:vAlign w:val="center"/>
            <w:hideMark/>
          </w:tcPr>
          <w:p w14:paraId="4158CA10"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1.520.000,01</w:t>
            </w:r>
          </w:p>
        </w:tc>
        <w:tc>
          <w:tcPr>
            <w:tcW w:w="1300" w:type="dxa"/>
            <w:shd w:val="clear" w:color="auto" w:fill="auto"/>
            <w:vAlign w:val="center"/>
            <w:hideMark/>
          </w:tcPr>
          <w:p w14:paraId="064C8DCD"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760.000,01</w:t>
            </w:r>
          </w:p>
        </w:tc>
        <w:tc>
          <w:tcPr>
            <w:tcW w:w="1276" w:type="dxa"/>
            <w:vAlign w:val="center"/>
          </w:tcPr>
          <w:p w14:paraId="41E8979D" w14:textId="77777777" w:rsidR="00034E5A" w:rsidRDefault="00034E5A">
            <w:pPr>
              <w:jc w:val="right"/>
              <w:rPr>
                <w:rFonts w:ascii="Calibri" w:hAnsi="Calibri" w:cs="Arial"/>
                <w:sz w:val="18"/>
                <w:szCs w:val="18"/>
              </w:rPr>
            </w:pPr>
            <w:r>
              <w:rPr>
                <w:rFonts w:ascii="Calibri" w:hAnsi="Calibri" w:cs="Arial"/>
                <w:sz w:val="18"/>
                <w:szCs w:val="18"/>
              </w:rPr>
              <w:t>5,11%</w:t>
            </w:r>
          </w:p>
        </w:tc>
      </w:tr>
      <w:tr w:rsidR="00034E5A" w:rsidRPr="009342FB" w14:paraId="35658053" w14:textId="77777777" w:rsidTr="008A3C49">
        <w:trPr>
          <w:trHeight w:val="439"/>
        </w:trPr>
        <w:tc>
          <w:tcPr>
            <w:tcW w:w="3801" w:type="dxa"/>
            <w:gridSpan w:val="2"/>
            <w:shd w:val="clear" w:color="auto" w:fill="auto"/>
            <w:vAlign w:val="center"/>
          </w:tcPr>
          <w:p w14:paraId="7A9CD620" w14:textId="77777777" w:rsidR="00034E5A" w:rsidRPr="00034E5A" w:rsidRDefault="00034E5A" w:rsidP="0066469A">
            <w:pPr>
              <w:jc w:val="left"/>
              <w:rPr>
                <w:rFonts w:asciiTheme="minorHAnsi" w:hAnsiTheme="minorHAnsi" w:cs="Arial"/>
                <w:bCs/>
                <w:color w:val="auto"/>
                <w:sz w:val="18"/>
                <w:szCs w:val="18"/>
                <w:lang w:val="sr-Cyrl-RS"/>
              </w:rPr>
            </w:pPr>
            <w:r>
              <w:rPr>
                <w:rFonts w:asciiTheme="minorHAnsi" w:hAnsiTheme="minorHAnsi" w:cs="Arial"/>
                <w:bCs/>
                <w:color w:val="auto"/>
                <w:sz w:val="18"/>
                <w:szCs w:val="18"/>
              </w:rPr>
              <w:t>Poljoprivreda , šumarstvo i ribolov</w:t>
            </w:r>
          </w:p>
        </w:tc>
        <w:tc>
          <w:tcPr>
            <w:tcW w:w="933" w:type="dxa"/>
            <w:shd w:val="clear" w:color="auto" w:fill="auto"/>
            <w:vAlign w:val="center"/>
          </w:tcPr>
          <w:p w14:paraId="6DCF8840" w14:textId="77777777" w:rsidR="00034E5A" w:rsidRPr="00034E5A" w:rsidRDefault="00034E5A" w:rsidP="0066469A">
            <w:pPr>
              <w:jc w:val="center"/>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4</w:t>
            </w:r>
          </w:p>
        </w:tc>
        <w:tc>
          <w:tcPr>
            <w:tcW w:w="1494" w:type="dxa"/>
            <w:shd w:val="clear" w:color="auto" w:fill="auto"/>
            <w:vAlign w:val="center"/>
          </w:tcPr>
          <w:p w14:paraId="4DAAFE8D"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445.000,00</w:t>
            </w:r>
          </w:p>
        </w:tc>
        <w:tc>
          <w:tcPr>
            <w:tcW w:w="1300" w:type="dxa"/>
            <w:shd w:val="clear" w:color="auto" w:fill="auto"/>
            <w:vAlign w:val="center"/>
          </w:tcPr>
          <w:p w14:paraId="33F45871"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222.500,00</w:t>
            </w:r>
          </w:p>
        </w:tc>
        <w:tc>
          <w:tcPr>
            <w:tcW w:w="1276" w:type="dxa"/>
            <w:vAlign w:val="center"/>
          </w:tcPr>
          <w:p w14:paraId="3FF1AC23" w14:textId="77777777" w:rsidR="00034E5A" w:rsidRDefault="00034E5A">
            <w:pPr>
              <w:jc w:val="right"/>
              <w:rPr>
                <w:rFonts w:ascii="Calibri" w:hAnsi="Calibri" w:cs="Arial"/>
                <w:sz w:val="18"/>
                <w:szCs w:val="18"/>
              </w:rPr>
            </w:pPr>
            <w:r>
              <w:rPr>
                <w:rFonts w:ascii="Calibri" w:hAnsi="Calibri" w:cs="Arial"/>
                <w:sz w:val="18"/>
                <w:szCs w:val="18"/>
              </w:rPr>
              <w:t>1,52%</w:t>
            </w:r>
          </w:p>
        </w:tc>
      </w:tr>
      <w:tr w:rsidR="00034E5A" w:rsidRPr="009342FB" w14:paraId="71554068" w14:textId="77777777" w:rsidTr="008A3C49">
        <w:trPr>
          <w:trHeight w:val="439"/>
        </w:trPr>
        <w:tc>
          <w:tcPr>
            <w:tcW w:w="3801" w:type="dxa"/>
            <w:gridSpan w:val="2"/>
            <w:shd w:val="clear" w:color="auto" w:fill="auto"/>
            <w:vAlign w:val="center"/>
          </w:tcPr>
          <w:p w14:paraId="11F8C02E"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Djelatnosti zdravstvene zaštite i socijalnog rada</w:t>
            </w:r>
          </w:p>
        </w:tc>
        <w:tc>
          <w:tcPr>
            <w:tcW w:w="933" w:type="dxa"/>
            <w:shd w:val="clear" w:color="auto" w:fill="auto"/>
            <w:vAlign w:val="center"/>
          </w:tcPr>
          <w:p w14:paraId="0EF157E4"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w:t>
            </w:r>
          </w:p>
        </w:tc>
        <w:tc>
          <w:tcPr>
            <w:tcW w:w="1494" w:type="dxa"/>
            <w:shd w:val="clear" w:color="auto" w:fill="auto"/>
            <w:vAlign w:val="center"/>
          </w:tcPr>
          <w:p w14:paraId="5BC57BA0"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1.500.000,00</w:t>
            </w:r>
          </w:p>
        </w:tc>
        <w:tc>
          <w:tcPr>
            <w:tcW w:w="1300" w:type="dxa"/>
            <w:shd w:val="clear" w:color="auto" w:fill="auto"/>
            <w:vAlign w:val="center"/>
          </w:tcPr>
          <w:p w14:paraId="42249300"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750.000,00</w:t>
            </w:r>
          </w:p>
        </w:tc>
        <w:tc>
          <w:tcPr>
            <w:tcW w:w="1276" w:type="dxa"/>
            <w:vAlign w:val="center"/>
          </w:tcPr>
          <w:p w14:paraId="102833BB" w14:textId="77777777" w:rsidR="00034E5A" w:rsidRDefault="00034E5A">
            <w:pPr>
              <w:jc w:val="right"/>
              <w:rPr>
                <w:rFonts w:ascii="Calibri" w:hAnsi="Calibri" w:cs="Arial"/>
                <w:sz w:val="18"/>
                <w:szCs w:val="18"/>
              </w:rPr>
            </w:pPr>
            <w:r>
              <w:rPr>
                <w:rFonts w:ascii="Calibri" w:hAnsi="Calibri" w:cs="Arial"/>
                <w:sz w:val="18"/>
                <w:szCs w:val="18"/>
              </w:rPr>
              <w:t>5,04%</w:t>
            </w:r>
          </w:p>
        </w:tc>
      </w:tr>
      <w:tr w:rsidR="00034E5A" w:rsidRPr="009342FB" w14:paraId="3496A171" w14:textId="77777777" w:rsidTr="008A3C49">
        <w:trPr>
          <w:trHeight w:val="252"/>
        </w:trPr>
        <w:tc>
          <w:tcPr>
            <w:tcW w:w="3801" w:type="dxa"/>
            <w:gridSpan w:val="2"/>
            <w:shd w:val="clear" w:color="auto" w:fill="auto"/>
            <w:vAlign w:val="center"/>
          </w:tcPr>
          <w:p w14:paraId="6E94CDD0"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Stručne , naučne i tehničke djelatnosti</w:t>
            </w:r>
          </w:p>
        </w:tc>
        <w:tc>
          <w:tcPr>
            <w:tcW w:w="933" w:type="dxa"/>
            <w:shd w:val="clear" w:color="auto" w:fill="auto"/>
            <w:vAlign w:val="center"/>
          </w:tcPr>
          <w:p w14:paraId="5DA8A477"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w:t>
            </w:r>
          </w:p>
        </w:tc>
        <w:tc>
          <w:tcPr>
            <w:tcW w:w="1494" w:type="dxa"/>
            <w:shd w:val="clear" w:color="auto" w:fill="auto"/>
            <w:vAlign w:val="center"/>
          </w:tcPr>
          <w:p w14:paraId="29BA4578"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729.000,00</w:t>
            </w:r>
          </w:p>
        </w:tc>
        <w:tc>
          <w:tcPr>
            <w:tcW w:w="1300" w:type="dxa"/>
            <w:shd w:val="clear" w:color="auto" w:fill="auto"/>
            <w:vAlign w:val="center"/>
          </w:tcPr>
          <w:p w14:paraId="6A07D712"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364.500,00</w:t>
            </w:r>
          </w:p>
        </w:tc>
        <w:tc>
          <w:tcPr>
            <w:tcW w:w="1276" w:type="dxa"/>
            <w:vAlign w:val="center"/>
          </w:tcPr>
          <w:p w14:paraId="49D2BC82" w14:textId="77777777" w:rsidR="00034E5A" w:rsidRDefault="00034E5A">
            <w:pPr>
              <w:jc w:val="right"/>
              <w:rPr>
                <w:rFonts w:ascii="Calibri" w:hAnsi="Calibri" w:cs="Arial"/>
                <w:sz w:val="18"/>
                <w:szCs w:val="18"/>
              </w:rPr>
            </w:pPr>
            <w:r>
              <w:rPr>
                <w:rFonts w:ascii="Calibri" w:hAnsi="Calibri" w:cs="Arial"/>
                <w:sz w:val="18"/>
                <w:szCs w:val="18"/>
              </w:rPr>
              <w:t>2,45%</w:t>
            </w:r>
          </w:p>
        </w:tc>
      </w:tr>
      <w:tr w:rsidR="00034E5A" w:rsidRPr="009342FB" w14:paraId="40E9BD92" w14:textId="77777777" w:rsidTr="008A3C49">
        <w:trPr>
          <w:trHeight w:val="323"/>
        </w:trPr>
        <w:tc>
          <w:tcPr>
            <w:tcW w:w="3801" w:type="dxa"/>
            <w:gridSpan w:val="2"/>
            <w:shd w:val="clear" w:color="auto" w:fill="auto"/>
            <w:vAlign w:val="center"/>
          </w:tcPr>
          <w:p w14:paraId="11BC3A34" w14:textId="77777777" w:rsidR="00034E5A" w:rsidRPr="00B414B5" w:rsidRDefault="00034E5A" w:rsidP="0066469A">
            <w:pPr>
              <w:jc w:val="left"/>
              <w:rPr>
                <w:rFonts w:asciiTheme="minorHAnsi" w:hAnsiTheme="minorHAnsi" w:cs="Arial"/>
                <w:bCs/>
                <w:color w:val="auto"/>
                <w:sz w:val="18"/>
                <w:szCs w:val="18"/>
                <w:lang w:val="sr-Cyrl-RS"/>
              </w:rPr>
            </w:pPr>
            <w:r>
              <w:rPr>
                <w:rFonts w:asciiTheme="minorHAnsi" w:hAnsiTheme="minorHAnsi" w:cs="Arial"/>
                <w:bCs/>
                <w:color w:val="auto"/>
                <w:sz w:val="18"/>
                <w:szCs w:val="18"/>
              </w:rPr>
              <w:t>Proizvodnja i snabdijevanje električnom energijom, gasom, parom i klimatizacija</w:t>
            </w:r>
          </w:p>
        </w:tc>
        <w:tc>
          <w:tcPr>
            <w:tcW w:w="933" w:type="dxa"/>
            <w:shd w:val="clear" w:color="auto" w:fill="auto"/>
            <w:vAlign w:val="center"/>
          </w:tcPr>
          <w:p w14:paraId="7D11A1AC" w14:textId="77777777" w:rsidR="00034E5A" w:rsidRPr="00B414B5" w:rsidRDefault="00034E5A" w:rsidP="0066469A">
            <w:pPr>
              <w:jc w:val="center"/>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2</w:t>
            </w:r>
          </w:p>
        </w:tc>
        <w:tc>
          <w:tcPr>
            <w:tcW w:w="1494" w:type="dxa"/>
            <w:shd w:val="clear" w:color="auto" w:fill="auto"/>
            <w:vAlign w:val="center"/>
          </w:tcPr>
          <w:p w14:paraId="287439F3" w14:textId="77777777" w:rsidR="00034E5A" w:rsidRPr="00B414B5"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655.000,00</w:t>
            </w:r>
          </w:p>
        </w:tc>
        <w:tc>
          <w:tcPr>
            <w:tcW w:w="1300" w:type="dxa"/>
            <w:shd w:val="clear" w:color="auto" w:fill="auto"/>
            <w:vAlign w:val="center"/>
          </w:tcPr>
          <w:p w14:paraId="0DDFD980" w14:textId="77777777" w:rsidR="00034E5A" w:rsidRPr="00B414B5"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327.500,00</w:t>
            </w:r>
          </w:p>
        </w:tc>
        <w:tc>
          <w:tcPr>
            <w:tcW w:w="1276" w:type="dxa"/>
            <w:vAlign w:val="center"/>
          </w:tcPr>
          <w:p w14:paraId="5FA7BC25" w14:textId="77777777" w:rsidR="00034E5A" w:rsidRDefault="00034E5A">
            <w:pPr>
              <w:jc w:val="right"/>
              <w:rPr>
                <w:rFonts w:ascii="Calibri" w:hAnsi="Calibri" w:cs="Arial"/>
                <w:sz w:val="18"/>
                <w:szCs w:val="18"/>
              </w:rPr>
            </w:pPr>
            <w:r>
              <w:rPr>
                <w:rFonts w:ascii="Calibri" w:hAnsi="Calibri" w:cs="Arial"/>
                <w:sz w:val="18"/>
                <w:szCs w:val="18"/>
              </w:rPr>
              <w:t>2,20%</w:t>
            </w:r>
          </w:p>
        </w:tc>
      </w:tr>
      <w:tr w:rsidR="00034E5A" w:rsidRPr="009342FB" w14:paraId="3662F1C2" w14:textId="77777777" w:rsidTr="008A3C49">
        <w:trPr>
          <w:trHeight w:val="289"/>
        </w:trPr>
        <w:tc>
          <w:tcPr>
            <w:tcW w:w="3801" w:type="dxa"/>
            <w:gridSpan w:val="2"/>
            <w:shd w:val="clear" w:color="auto" w:fill="auto"/>
            <w:vAlign w:val="center"/>
            <w:hideMark/>
          </w:tcPr>
          <w:p w14:paraId="621A539E" w14:textId="77777777" w:rsidR="00034E5A" w:rsidRPr="009342FB" w:rsidRDefault="00034E5A" w:rsidP="009342FB">
            <w:pPr>
              <w:jc w:val="left"/>
              <w:rPr>
                <w:rFonts w:asciiTheme="minorHAnsi" w:hAnsiTheme="minorHAnsi" w:cs="Arial"/>
                <w:bCs/>
                <w:color w:val="auto"/>
                <w:sz w:val="18"/>
                <w:szCs w:val="18"/>
              </w:rPr>
            </w:pPr>
            <w:r w:rsidRPr="009342FB">
              <w:rPr>
                <w:rFonts w:asciiTheme="minorHAnsi" w:hAnsiTheme="minorHAnsi" w:cs="Arial"/>
                <w:bCs/>
                <w:color w:val="auto"/>
                <w:sz w:val="18"/>
                <w:szCs w:val="18"/>
              </w:rPr>
              <w:t>Administrativne i pomoćne uslužne djelatnosti</w:t>
            </w:r>
          </w:p>
        </w:tc>
        <w:tc>
          <w:tcPr>
            <w:tcW w:w="933" w:type="dxa"/>
            <w:shd w:val="clear" w:color="auto" w:fill="auto"/>
            <w:vAlign w:val="center"/>
            <w:hideMark/>
          </w:tcPr>
          <w:p w14:paraId="2706BC7A"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w:t>
            </w:r>
          </w:p>
        </w:tc>
        <w:tc>
          <w:tcPr>
            <w:tcW w:w="1494" w:type="dxa"/>
            <w:shd w:val="clear" w:color="auto" w:fill="auto"/>
            <w:vAlign w:val="center"/>
            <w:hideMark/>
          </w:tcPr>
          <w:p w14:paraId="48795343"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500.000,00</w:t>
            </w:r>
          </w:p>
        </w:tc>
        <w:tc>
          <w:tcPr>
            <w:tcW w:w="1300" w:type="dxa"/>
            <w:shd w:val="clear" w:color="auto" w:fill="auto"/>
            <w:vAlign w:val="center"/>
            <w:hideMark/>
          </w:tcPr>
          <w:p w14:paraId="717BFAFE"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250.000,00</w:t>
            </w:r>
          </w:p>
        </w:tc>
        <w:tc>
          <w:tcPr>
            <w:tcW w:w="1276" w:type="dxa"/>
            <w:vAlign w:val="center"/>
          </w:tcPr>
          <w:p w14:paraId="3C58D151" w14:textId="77777777" w:rsidR="00034E5A" w:rsidRDefault="00034E5A">
            <w:pPr>
              <w:jc w:val="right"/>
              <w:rPr>
                <w:rFonts w:ascii="Calibri" w:hAnsi="Calibri" w:cs="Arial"/>
                <w:sz w:val="18"/>
                <w:szCs w:val="18"/>
              </w:rPr>
            </w:pPr>
            <w:r>
              <w:rPr>
                <w:rFonts w:ascii="Calibri" w:hAnsi="Calibri" w:cs="Arial"/>
                <w:sz w:val="18"/>
                <w:szCs w:val="18"/>
              </w:rPr>
              <w:t>1,68%</w:t>
            </w:r>
          </w:p>
        </w:tc>
      </w:tr>
      <w:tr w:rsidR="00034E5A" w:rsidRPr="009342FB" w14:paraId="53423855" w14:textId="77777777" w:rsidTr="008A3C49">
        <w:trPr>
          <w:trHeight w:val="252"/>
        </w:trPr>
        <w:tc>
          <w:tcPr>
            <w:tcW w:w="3801" w:type="dxa"/>
            <w:gridSpan w:val="2"/>
            <w:shd w:val="clear" w:color="auto" w:fill="auto"/>
            <w:vAlign w:val="center"/>
            <w:hideMark/>
          </w:tcPr>
          <w:p w14:paraId="0CE17772" w14:textId="4B2D580C" w:rsidR="00034E5A" w:rsidRPr="009342FB" w:rsidRDefault="005E590F" w:rsidP="009342FB">
            <w:pPr>
              <w:jc w:val="left"/>
              <w:rPr>
                <w:rFonts w:asciiTheme="minorHAnsi" w:hAnsiTheme="minorHAnsi" w:cs="Arial"/>
                <w:bCs/>
                <w:color w:val="auto"/>
                <w:sz w:val="18"/>
                <w:szCs w:val="18"/>
              </w:rPr>
            </w:pPr>
            <w:r>
              <w:rPr>
                <w:rFonts w:asciiTheme="minorHAnsi" w:hAnsiTheme="minorHAnsi" w:cs="Arial"/>
                <w:bCs/>
                <w:color w:val="auto"/>
                <w:sz w:val="18"/>
                <w:szCs w:val="18"/>
              </w:rPr>
              <w:t xml:space="preserve">Obrazovanje </w:t>
            </w:r>
          </w:p>
        </w:tc>
        <w:tc>
          <w:tcPr>
            <w:tcW w:w="933" w:type="dxa"/>
            <w:shd w:val="clear" w:color="auto" w:fill="auto"/>
            <w:vAlign w:val="center"/>
            <w:hideMark/>
          </w:tcPr>
          <w:p w14:paraId="40B00D55"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3</w:t>
            </w:r>
          </w:p>
        </w:tc>
        <w:tc>
          <w:tcPr>
            <w:tcW w:w="1494" w:type="dxa"/>
            <w:shd w:val="clear" w:color="auto" w:fill="auto"/>
            <w:vAlign w:val="center"/>
            <w:hideMark/>
          </w:tcPr>
          <w:p w14:paraId="3CFC4335"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110.000,00</w:t>
            </w:r>
          </w:p>
        </w:tc>
        <w:tc>
          <w:tcPr>
            <w:tcW w:w="1300" w:type="dxa"/>
            <w:shd w:val="clear" w:color="auto" w:fill="auto"/>
            <w:vAlign w:val="center"/>
            <w:hideMark/>
          </w:tcPr>
          <w:p w14:paraId="34AB0D1D"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55.000,00</w:t>
            </w:r>
          </w:p>
        </w:tc>
        <w:tc>
          <w:tcPr>
            <w:tcW w:w="1276" w:type="dxa"/>
            <w:vAlign w:val="center"/>
          </w:tcPr>
          <w:p w14:paraId="2122E89B" w14:textId="77777777" w:rsidR="00034E5A" w:rsidRDefault="00034E5A">
            <w:pPr>
              <w:jc w:val="right"/>
              <w:rPr>
                <w:rFonts w:ascii="Calibri" w:hAnsi="Calibri" w:cs="Arial"/>
                <w:sz w:val="18"/>
                <w:szCs w:val="18"/>
              </w:rPr>
            </w:pPr>
            <w:r>
              <w:rPr>
                <w:rFonts w:ascii="Calibri" w:hAnsi="Calibri" w:cs="Arial"/>
                <w:sz w:val="18"/>
                <w:szCs w:val="18"/>
              </w:rPr>
              <w:t>0,37%</w:t>
            </w:r>
          </w:p>
        </w:tc>
      </w:tr>
      <w:tr w:rsidR="00034E5A" w:rsidRPr="009342FB" w14:paraId="0F2C1E21" w14:textId="77777777" w:rsidTr="008A3C49">
        <w:trPr>
          <w:trHeight w:val="283"/>
        </w:trPr>
        <w:tc>
          <w:tcPr>
            <w:tcW w:w="3801" w:type="dxa"/>
            <w:gridSpan w:val="2"/>
            <w:shd w:val="clear" w:color="auto" w:fill="auto"/>
            <w:vAlign w:val="center"/>
          </w:tcPr>
          <w:p w14:paraId="2E77ED4C" w14:textId="77777777" w:rsidR="00034E5A" w:rsidRPr="00034E5A" w:rsidRDefault="00034E5A" w:rsidP="0066469A">
            <w:pPr>
              <w:jc w:val="left"/>
              <w:rPr>
                <w:rFonts w:asciiTheme="minorHAnsi" w:hAnsiTheme="minorHAnsi" w:cs="Arial"/>
                <w:bCs/>
                <w:color w:val="auto"/>
                <w:sz w:val="18"/>
                <w:szCs w:val="18"/>
                <w:lang w:val="sr-Cyrl-RS"/>
              </w:rPr>
            </w:pPr>
            <w:r>
              <w:rPr>
                <w:rFonts w:asciiTheme="minorHAnsi" w:hAnsiTheme="minorHAnsi" w:cs="Arial"/>
                <w:bCs/>
                <w:color w:val="auto"/>
                <w:sz w:val="18"/>
                <w:szCs w:val="18"/>
              </w:rPr>
              <w:t>Vađenje rude i kamena</w:t>
            </w:r>
          </w:p>
        </w:tc>
        <w:tc>
          <w:tcPr>
            <w:tcW w:w="933" w:type="dxa"/>
            <w:shd w:val="clear" w:color="auto" w:fill="auto"/>
            <w:vAlign w:val="center"/>
          </w:tcPr>
          <w:p w14:paraId="49D73CF9" w14:textId="77777777" w:rsidR="00034E5A" w:rsidRPr="00034E5A" w:rsidRDefault="00034E5A" w:rsidP="0066469A">
            <w:pPr>
              <w:jc w:val="center"/>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3</w:t>
            </w:r>
          </w:p>
        </w:tc>
        <w:tc>
          <w:tcPr>
            <w:tcW w:w="1494" w:type="dxa"/>
            <w:shd w:val="clear" w:color="auto" w:fill="auto"/>
            <w:vAlign w:val="center"/>
          </w:tcPr>
          <w:p w14:paraId="614AF76B"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390.000,00</w:t>
            </w:r>
          </w:p>
        </w:tc>
        <w:tc>
          <w:tcPr>
            <w:tcW w:w="1300" w:type="dxa"/>
            <w:shd w:val="clear" w:color="auto" w:fill="auto"/>
            <w:vAlign w:val="center"/>
          </w:tcPr>
          <w:p w14:paraId="1402B158" w14:textId="77777777" w:rsidR="00034E5A" w:rsidRPr="00034E5A" w:rsidRDefault="00034E5A" w:rsidP="0066469A">
            <w:pPr>
              <w:jc w:val="right"/>
              <w:rPr>
                <w:rFonts w:asciiTheme="minorHAnsi" w:hAnsiTheme="minorHAnsi" w:cs="Microsoft Sans Serif"/>
                <w:bCs/>
                <w:color w:val="auto"/>
                <w:sz w:val="18"/>
                <w:szCs w:val="18"/>
                <w:lang w:val="sr-Cyrl-RS"/>
              </w:rPr>
            </w:pPr>
            <w:r>
              <w:rPr>
                <w:rFonts w:asciiTheme="minorHAnsi" w:hAnsiTheme="minorHAnsi" w:cs="Microsoft Sans Serif"/>
                <w:bCs/>
                <w:color w:val="auto"/>
                <w:sz w:val="18"/>
                <w:szCs w:val="18"/>
              </w:rPr>
              <w:t>195.000,00</w:t>
            </w:r>
          </w:p>
        </w:tc>
        <w:tc>
          <w:tcPr>
            <w:tcW w:w="1276" w:type="dxa"/>
            <w:vAlign w:val="center"/>
          </w:tcPr>
          <w:p w14:paraId="465A3EE8" w14:textId="77777777" w:rsidR="00034E5A" w:rsidRDefault="00034E5A">
            <w:pPr>
              <w:jc w:val="right"/>
              <w:rPr>
                <w:rFonts w:ascii="Calibri" w:hAnsi="Calibri" w:cs="Arial"/>
                <w:sz w:val="18"/>
                <w:szCs w:val="18"/>
              </w:rPr>
            </w:pPr>
            <w:r>
              <w:rPr>
                <w:rFonts w:ascii="Calibri" w:hAnsi="Calibri" w:cs="Arial"/>
                <w:sz w:val="18"/>
                <w:szCs w:val="18"/>
              </w:rPr>
              <w:t>1,31%</w:t>
            </w:r>
          </w:p>
        </w:tc>
      </w:tr>
      <w:tr w:rsidR="00034E5A" w:rsidRPr="009342FB" w14:paraId="061AB2EC" w14:textId="77777777" w:rsidTr="008A3C49">
        <w:trPr>
          <w:trHeight w:val="283"/>
        </w:trPr>
        <w:tc>
          <w:tcPr>
            <w:tcW w:w="3801" w:type="dxa"/>
            <w:gridSpan w:val="2"/>
            <w:shd w:val="clear" w:color="auto" w:fill="auto"/>
            <w:vAlign w:val="center"/>
          </w:tcPr>
          <w:p w14:paraId="2A8C9548" w14:textId="77777777" w:rsidR="00034E5A" w:rsidRPr="009342FB" w:rsidRDefault="00034E5A" w:rsidP="0066469A">
            <w:pPr>
              <w:jc w:val="left"/>
              <w:rPr>
                <w:rFonts w:asciiTheme="minorHAnsi" w:hAnsiTheme="minorHAnsi" w:cs="Arial"/>
                <w:bCs/>
                <w:color w:val="auto"/>
                <w:sz w:val="18"/>
                <w:szCs w:val="18"/>
              </w:rPr>
            </w:pPr>
            <w:r w:rsidRPr="009342FB">
              <w:rPr>
                <w:rFonts w:asciiTheme="minorHAnsi" w:hAnsiTheme="minorHAnsi" w:cs="Arial"/>
                <w:bCs/>
                <w:color w:val="auto"/>
                <w:sz w:val="18"/>
                <w:szCs w:val="18"/>
              </w:rPr>
              <w:t>Djelatnosti domaćinstava kao poslodavaca; djelatnosti domaćinstava koja proizvode različitu robu i obavljaju različite usluge za sopstvenu upotrebu</w:t>
            </w:r>
          </w:p>
        </w:tc>
        <w:tc>
          <w:tcPr>
            <w:tcW w:w="933" w:type="dxa"/>
            <w:shd w:val="clear" w:color="auto" w:fill="auto"/>
            <w:vAlign w:val="center"/>
          </w:tcPr>
          <w:p w14:paraId="6E47B4F5" w14:textId="77777777" w:rsidR="00034E5A" w:rsidRPr="009342FB" w:rsidRDefault="00034E5A" w:rsidP="0066469A">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w:t>
            </w:r>
          </w:p>
        </w:tc>
        <w:tc>
          <w:tcPr>
            <w:tcW w:w="1494" w:type="dxa"/>
            <w:shd w:val="clear" w:color="auto" w:fill="auto"/>
            <w:vAlign w:val="center"/>
          </w:tcPr>
          <w:p w14:paraId="4FF617FC"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100.000,00</w:t>
            </w:r>
          </w:p>
        </w:tc>
        <w:tc>
          <w:tcPr>
            <w:tcW w:w="1300" w:type="dxa"/>
            <w:shd w:val="clear" w:color="auto" w:fill="auto"/>
            <w:vAlign w:val="center"/>
          </w:tcPr>
          <w:p w14:paraId="2F02F77D" w14:textId="77777777" w:rsidR="00034E5A" w:rsidRPr="009342FB" w:rsidRDefault="00034E5A" w:rsidP="0066469A">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50.000,00</w:t>
            </w:r>
          </w:p>
        </w:tc>
        <w:tc>
          <w:tcPr>
            <w:tcW w:w="1276" w:type="dxa"/>
            <w:vAlign w:val="center"/>
          </w:tcPr>
          <w:p w14:paraId="1FDD4131" w14:textId="77777777" w:rsidR="00034E5A" w:rsidRDefault="00034E5A">
            <w:pPr>
              <w:jc w:val="right"/>
              <w:rPr>
                <w:rFonts w:ascii="Calibri" w:hAnsi="Calibri" w:cs="Arial"/>
                <w:sz w:val="18"/>
                <w:szCs w:val="18"/>
              </w:rPr>
            </w:pPr>
            <w:r>
              <w:rPr>
                <w:rFonts w:ascii="Calibri" w:hAnsi="Calibri" w:cs="Arial"/>
                <w:sz w:val="18"/>
                <w:szCs w:val="18"/>
              </w:rPr>
              <w:t>0,34%</w:t>
            </w:r>
          </w:p>
        </w:tc>
      </w:tr>
      <w:tr w:rsidR="00034E5A" w:rsidRPr="009342FB" w14:paraId="338CBD1D" w14:textId="77777777" w:rsidTr="008A3C49">
        <w:trPr>
          <w:trHeight w:val="286"/>
        </w:trPr>
        <w:tc>
          <w:tcPr>
            <w:tcW w:w="3801" w:type="dxa"/>
            <w:gridSpan w:val="2"/>
            <w:shd w:val="clear" w:color="auto" w:fill="auto"/>
            <w:vAlign w:val="center"/>
            <w:hideMark/>
          </w:tcPr>
          <w:p w14:paraId="494EAB1A" w14:textId="77777777" w:rsidR="00034E5A" w:rsidRPr="009342FB" w:rsidRDefault="00034E5A" w:rsidP="009342FB">
            <w:pPr>
              <w:jc w:val="left"/>
              <w:rPr>
                <w:rFonts w:asciiTheme="minorHAnsi" w:hAnsiTheme="minorHAnsi" w:cs="Arial"/>
                <w:bCs/>
                <w:color w:val="auto"/>
                <w:sz w:val="18"/>
                <w:szCs w:val="18"/>
              </w:rPr>
            </w:pPr>
            <w:r w:rsidRPr="009342FB">
              <w:rPr>
                <w:rFonts w:asciiTheme="minorHAnsi" w:hAnsiTheme="minorHAnsi" w:cs="Arial"/>
                <w:bCs/>
                <w:color w:val="auto"/>
                <w:sz w:val="18"/>
                <w:szCs w:val="18"/>
              </w:rPr>
              <w:t>Umjetnost , zabava i rekreacija</w:t>
            </w:r>
          </w:p>
        </w:tc>
        <w:tc>
          <w:tcPr>
            <w:tcW w:w="933" w:type="dxa"/>
            <w:shd w:val="clear" w:color="auto" w:fill="auto"/>
            <w:vAlign w:val="center"/>
            <w:hideMark/>
          </w:tcPr>
          <w:p w14:paraId="6A06D418" w14:textId="77777777" w:rsidR="00034E5A" w:rsidRPr="009342FB" w:rsidRDefault="00034E5A" w:rsidP="009342FB">
            <w:pPr>
              <w:jc w:val="center"/>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w:t>
            </w:r>
          </w:p>
        </w:tc>
        <w:tc>
          <w:tcPr>
            <w:tcW w:w="1494" w:type="dxa"/>
            <w:shd w:val="clear" w:color="auto" w:fill="auto"/>
            <w:vAlign w:val="center"/>
            <w:hideMark/>
          </w:tcPr>
          <w:p w14:paraId="230379C8"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20.000,00</w:t>
            </w:r>
          </w:p>
        </w:tc>
        <w:tc>
          <w:tcPr>
            <w:tcW w:w="1300" w:type="dxa"/>
            <w:shd w:val="clear" w:color="auto" w:fill="auto"/>
            <w:vAlign w:val="center"/>
            <w:hideMark/>
          </w:tcPr>
          <w:p w14:paraId="5763B80F" w14:textId="77777777" w:rsidR="00034E5A" w:rsidRPr="009342FB" w:rsidRDefault="00034E5A" w:rsidP="009342FB">
            <w:pPr>
              <w:jc w:val="right"/>
              <w:rPr>
                <w:rFonts w:asciiTheme="minorHAnsi" w:hAnsiTheme="minorHAnsi" w:cs="Microsoft Sans Serif"/>
                <w:bCs/>
                <w:color w:val="auto"/>
                <w:sz w:val="18"/>
                <w:szCs w:val="18"/>
              </w:rPr>
            </w:pPr>
            <w:r w:rsidRPr="009342FB">
              <w:rPr>
                <w:rFonts w:asciiTheme="minorHAnsi" w:hAnsiTheme="minorHAnsi" w:cs="Microsoft Sans Serif"/>
                <w:bCs/>
                <w:color w:val="auto"/>
                <w:sz w:val="18"/>
                <w:szCs w:val="18"/>
              </w:rPr>
              <w:t>10.000,00</w:t>
            </w:r>
          </w:p>
        </w:tc>
        <w:tc>
          <w:tcPr>
            <w:tcW w:w="1276" w:type="dxa"/>
            <w:vAlign w:val="center"/>
          </w:tcPr>
          <w:p w14:paraId="2798FF74" w14:textId="77777777" w:rsidR="00034E5A" w:rsidRDefault="00034E5A">
            <w:pPr>
              <w:jc w:val="right"/>
              <w:rPr>
                <w:rFonts w:ascii="Calibri" w:hAnsi="Calibri" w:cs="Arial"/>
                <w:sz w:val="18"/>
                <w:szCs w:val="18"/>
              </w:rPr>
            </w:pPr>
            <w:r>
              <w:rPr>
                <w:rFonts w:ascii="Calibri" w:hAnsi="Calibri" w:cs="Arial"/>
                <w:sz w:val="18"/>
                <w:szCs w:val="18"/>
              </w:rPr>
              <w:t>0,07%</w:t>
            </w:r>
          </w:p>
        </w:tc>
      </w:tr>
      <w:tr w:rsidR="00034E5A" w:rsidRPr="005767EF" w14:paraId="358478F2" w14:textId="77777777" w:rsidTr="008A3C49">
        <w:trPr>
          <w:gridBefore w:val="1"/>
          <w:wBefore w:w="17" w:type="dxa"/>
          <w:trHeight w:val="277"/>
        </w:trPr>
        <w:tc>
          <w:tcPr>
            <w:tcW w:w="3784" w:type="dxa"/>
            <w:shd w:val="clear" w:color="auto" w:fill="548DD4" w:themeFill="text2" w:themeFillTint="99"/>
            <w:vAlign w:val="center"/>
          </w:tcPr>
          <w:p w14:paraId="393FCF50" w14:textId="007D420C" w:rsidR="00034E5A" w:rsidRPr="00B414B5" w:rsidRDefault="005E590F" w:rsidP="008A3C49">
            <w:pPr>
              <w:jc w:val="center"/>
              <w:rPr>
                <w:rFonts w:asciiTheme="minorHAnsi" w:hAnsiTheme="minorHAnsi"/>
                <w:b/>
                <w:bCs/>
                <w:color w:val="auto"/>
                <w:sz w:val="18"/>
                <w:szCs w:val="18"/>
                <w:lang w:val="sr-Cyrl-BA" w:eastAsia="sr-Latn-RS"/>
              </w:rPr>
            </w:pPr>
            <w:r>
              <w:rPr>
                <w:rFonts w:asciiTheme="minorHAnsi" w:hAnsiTheme="minorHAnsi"/>
                <w:b/>
                <w:bCs/>
                <w:color w:val="auto"/>
                <w:sz w:val="18"/>
                <w:szCs w:val="18"/>
                <w:lang w:eastAsia="sr-Latn-RS"/>
              </w:rPr>
              <w:t>UKUPNO</w:t>
            </w:r>
          </w:p>
        </w:tc>
        <w:tc>
          <w:tcPr>
            <w:tcW w:w="933" w:type="dxa"/>
            <w:shd w:val="clear" w:color="auto" w:fill="548DD4" w:themeFill="text2" w:themeFillTint="99"/>
            <w:vAlign w:val="center"/>
            <w:hideMark/>
          </w:tcPr>
          <w:p w14:paraId="6000F85E" w14:textId="77777777" w:rsidR="00034E5A" w:rsidRPr="00B414B5" w:rsidRDefault="00034E5A" w:rsidP="008A3C49">
            <w:pPr>
              <w:jc w:val="center"/>
              <w:rPr>
                <w:rFonts w:asciiTheme="minorHAnsi" w:hAnsiTheme="minorHAnsi"/>
                <w:b/>
                <w:bCs/>
                <w:color w:val="auto"/>
                <w:sz w:val="18"/>
                <w:szCs w:val="18"/>
                <w:lang w:val="sr-Cyrl-RS" w:eastAsia="sr-Latn-RS"/>
              </w:rPr>
            </w:pPr>
            <w:r w:rsidRPr="00B414B5">
              <w:rPr>
                <w:rFonts w:asciiTheme="minorHAnsi" w:hAnsiTheme="minorHAnsi"/>
                <w:b/>
                <w:bCs/>
                <w:color w:val="auto"/>
                <w:sz w:val="18"/>
                <w:szCs w:val="18"/>
                <w:lang w:eastAsia="sr-Latn-RS"/>
              </w:rPr>
              <w:t>122</w:t>
            </w:r>
          </w:p>
        </w:tc>
        <w:tc>
          <w:tcPr>
            <w:tcW w:w="1494" w:type="dxa"/>
            <w:shd w:val="clear" w:color="auto" w:fill="548DD4" w:themeFill="text2" w:themeFillTint="99"/>
            <w:vAlign w:val="center"/>
            <w:hideMark/>
          </w:tcPr>
          <w:p w14:paraId="204512DB" w14:textId="77777777" w:rsidR="00034E5A" w:rsidRPr="00B414B5" w:rsidRDefault="00034E5A" w:rsidP="008A3C49">
            <w:pPr>
              <w:jc w:val="right"/>
              <w:rPr>
                <w:rFonts w:asciiTheme="minorHAnsi" w:hAnsiTheme="minorHAnsi"/>
                <w:b/>
                <w:bCs/>
                <w:color w:val="auto"/>
                <w:sz w:val="18"/>
                <w:szCs w:val="18"/>
                <w:lang w:val="sr-Cyrl-RS" w:eastAsia="sr-Latn-RS"/>
              </w:rPr>
            </w:pPr>
            <w:r>
              <w:rPr>
                <w:rFonts w:asciiTheme="minorHAnsi" w:hAnsiTheme="minorHAnsi"/>
                <w:b/>
                <w:bCs/>
                <w:color w:val="auto"/>
                <w:sz w:val="18"/>
                <w:szCs w:val="18"/>
                <w:lang w:eastAsia="sr-Latn-RS"/>
              </w:rPr>
              <w:t>29.762.000,03</w:t>
            </w:r>
          </w:p>
        </w:tc>
        <w:tc>
          <w:tcPr>
            <w:tcW w:w="1300" w:type="dxa"/>
            <w:shd w:val="clear" w:color="auto" w:fill="548DD4" w:themeFill="text2" w:themeFillTint="99"/>
            <w:vAlign w:val="center"/>
            <w:hideMark/>
          </w:tcPr>
          <w:p w14:paraId="14F113D5" w14:textId="77777777" w:rsidR="00034E5A" w:rsidRPr="00B414B5" w:rsidRDefault="00034E5A" w:rsidP="008A3C49">
            <w:pPr>
              <w:jc w:val="right"/>
              <w:rPr>
                <w:rFonts w:asciiTheme="minorHAnsi" w:hAnsiTheme="minorHAnsi"/>
                <w:b/>
                <w:bCs/>
                <w:color w:val="auto"/>
                <w:sz w:val="18"/>
                <w:szCs w:val="18"/>
                <w:lang w:val="sr-Cyrl-RS" w:eastAsia="sr-Latn-RS"/>
              </w:rPr>
            </w:pPr>
            <w:r>
              <w:rPr>
                <w:rFonts w:asciiTheme="minorHAnsi" w:hAnsiTheme="minorHAnsi"/>
                <w:b/>
                <w:bCs/>
                <w:color w:val="auto"/>
                <w:sz w:val="18"/>
                <w:szCs w:val="18"/>
                <w:lang w:eastAsia="sr-Latn-RS"/>
              </w:rPr>
              <w:t>14.881.000,02</w:t>
            </w:r>
          </w:p>
        </w:tc>
        <w:tc>
          <w:tcPr>
            <w:tcW w:w="1276" w:type="dxa"/>
            <w:shd w:val="clear" w:color="auto" w:fill="548DD4" w:themeFill="text2" w:themeFillTint="99"/>
            <w:vAlign w:val="center"/>
          </w:tcPr>
          <w:p w14:paraId="7F9295A9" w14:textId="77777777" w:rsidR="00034E5A" w:rsidRDefault="00034E5A" w:rsidP="008A3C49">
            <w:pPr>
              <w:jc w:val="right"/>
              <w:rPr>
                <w:rFonts w:asciiTheme="minorHAnsi" w:hAnsiTheme="minorHAnsi"/>
                <w:b/>
                <w:bCs/>
                <w:color w:val="auto"/>
                <w:sz w:val="18"/>
                <w:szCs w:val="18"/>
                <w:lang w:val="sr-Cyrl-RS" w:eastAsia="sr-Latn-RS"/>
              </w:rPr>
            </w:pPr>
            <w:r>
              <w:rPr>
                <w:rFonts w:asciiTheme="minorHAnsi" w:hAnsiTheme="minorHAnsi"/>
                <w:b/>
                <w:bCs/>
                <w:color w:val="auto"/>
                <w:sz w:val="18"/>
                <w:szCs w:val="18"/>
                <w:lang w:eastAsia="sr-Latn-RS"/>
              </w:rPr>
              <w:t>100,00%</w:t>
            </w:r>
          </w:p>
        </w:tc>
      </w:tr>
    </w:tbl>
    <w:p w14:paraId="36209BD4" w14:textId="77777777"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1C06EB89" w14:textId="77777777" w:rsidR="001538EF" w:rsidRDefault="001538EF" w:rsidP="001538EF">
      <w:pPr>
        <w:autoSpaceDE w:val="0"/>
        <w:autoSpaceDN w:val="0"/>
        <w:adjustRightInd w:val="0"/>
        <w:rPr>
          <w:rFonts w:asciiTheme="minorHAnsi" w:hAnsiTheme="minorHAnsi"/>
          <w:bCs/>
          <w:sz w:val="20"/>
          <w:szCs w:val="20"/>
          <w:lang w:val="sr-Cyrl-BA" w:eastAsia="sr-Latn-RS"/>
        </w:rPr>
      </w:pPr>
      <w:r w:rsidRPr="005767EF">
        <w:rPr>
          <w:rFonts w:asciiTheme="minorHAnsi" w:hAnsiTheme="minorHAnsi"/>
          <w:bCs/>
          <w:sz w:val="20"/>
          <w:szCs w:val="20"/>
          <w:lang w:eastAsia="sr-Latn-RS"/>
        </w:rPr>
        <w:t>Struktura garancija po djelatnostima pokazuje da je 50% garancija iz kreditnog portfelja izdano poslovnim subjektima koji obavljaju djelatnosti u okviru prerađivačke industrije. Na drugom mjestu se nalazi trgovinska djelatnost, a garancije privrednim subjektima iz ove grupe imaju učešće od 14,83%. Na trećem mjestu se nalazi djelatnost saobraćaja i skladištenja sa učešćem od 9,66%. Prikazana struktura djelatnosti je očekivana, s obzirom da su ovo dominantne djelatnosti koje obavljaju privredni subjekti u Republici Srpskoj.</w:t>
      </w:r>
    </w:p>
    <w:p w14:paraId="5086A03D"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57BE2A36"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35664298"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2F15870E"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67EAE2A6"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3905EDD8"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338254C1"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29FA4F6C"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02C5BDE0"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7711F378"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06B62C2D"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15C95BD8"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68D5285C" w14:textId="77777777" w:rsidR="00130BFD" w:rsidRDefault="00130BFD" w:rsidP="001538EF">
      <w:pPr>
        <w:autoSpaceDE w:val="0"/>
        <w:autoSpaceDN w:val="0"/>
        <w:adjustRightInd w:val="0"/>
        <w:rPr>
          <w:rFonts w:asciiTheme="minorHAnsi" w:hAnsiTheme="minorHAnsi"/>
          <w:bCs/>
          <w:sz w:val="20"/>
          <w:szCs w:val="20"/>
          <w:lang w:val="sr-Cyrl-BA" w:eastAsia="sr-Latn-RS"/>
        </w:rPr>
      </w:pPr>
    </w:p>
    <w:p w14:paraId="547A48C8" w14:textId="77777777" w:rsidR="001538EF" w:rsidRDefault="001538EF" w:rsidP="001538EF">
      <w:pPr>
        <w:autoSpaceDE w:val="0"/>
        <w:autoSpaceDN w:val="0"/>
        <w:adjustRightInd w:val="0"/>
        <w:rPr>
          <w:rFonts w:asciiTheme="minorHAnsi" w:hAnsiTheme="minorHAnsi"/>
          <w:bCs/>
          <w:sz w:val="20"/>
          <w:szCs w:val="20"/>
          <w:lang w:val="sr-Cyrl-BA" w:eastAsia="sr-Latn-RS"/>
        </w:rPr>
      </w:pPr>
    </w:p>
    <w:p w14:paraId="7247080E" w14:textId="77777777" w:rsidR="005B57E0" w:rsidRDefault="005B57E0" w:rsidP="001538EF">
      <w:pPr>
        <w:autoSpaceDE w:val="0"/>
        <w:autoSpaceDN w:val="0"/>
        <w:adjustRightInd w:val="0"/>
        <w:rPr>
          <w:rFonts w:asciiTheme="minorHAnsi" w:hAnsiTheme="minorHAnsi"/>
          <w:b/>
          <w:bCs/>
          <w:sz w:val="20"/>
          <w:szCs w:val="20"/>
          <w:lang w:val="sr-Latn-BA" w:eastAsia="sr-Latn-RS"/>
        </w:rPr>
      </w:pPr>
    </w:p>
    <w:p w14:paraId="30E5992B" w14:textId="77777777" w:rsidR="00FD4F2B" w:rsidRDefault="00FD4F2B" w:rsidP="001538EF">
      <w:pPr>
        <w:autoSpaceDE w:val="0"/>
        <w:autoSpaceDN w:val="0"/>
        <w:adjustRightInd w:val="0"/>
        <w:rPr>
          <w:rFonts w:asciiTheme="minorHAnsi" w:hAnsiTheme="minorHAnsi"/>
          <w:b/>
          <w:bCs/>
          <w:sz w:val="20"/>
          <w:szCs w:val="20"/>
          <w:lang w:val="sr-Latn-BA" w:eastAsia="sr-Latn-RS"/>
        </w:rPr>
      </w:pPr>
    </w:p>
    <w:p w14:paraId="5A01719C" w14:textId="77777777" w:rsidR="00FD4F2B" w:rsidRDefault="00FD4F2B" w:rsidP="001538EF">
      <w:pPr>
        <w:autoSpaceDE w:val="0"/>
        <w:autoSpaceDN w:val="0"/>
        <w:adjustRightInd w:val="0"/>
        <w:rPr>
          <w:rFonts w:asciiTheme="minorHAnsi" w:hAnsiTheme="minorHAnsi"/>
          <w:b/>
          <w:bCs/>
          <w:sz w:val="20"/>
          <w:szCs w:val="20"/>
          <w:lang w:val="sr-Latn-BA" w:eastAsia="sr-Latn-RS"/>
        </w:rPr>
      </w:pPr>
    </w:p>
    <w:p w14:paraId="637132E1" w14:textId="77777777" w:rsidR="00FD4F2B" w:rsidRDefault="00FD4F2B" w:rsidP="001538EF">
      <w:pPr>
        <w:autoSpaceDE w:val="0"/>
        <w:autoSpaceDN w:val="0"/>
        <w:adjustRightInd w:val="0"/>
        <w:rPr>
          <w:rFonts w:asciiTheme="minorHAnsi" w:hAnsiTheme="minorHAnsi"/>
          <w:b/>
          <w:bCs/>
          <w:sz w:val="20"/>
          <w:szCs w:val="20"/>
          <w:lang w:val="sr-Latn-BA" w:eastAsia="sr-Latn-RS"/>
        </w:rPr>
      </w:pPr>
    </w:p>
    <w:p w14:paraId="5B718B00" w14:textId="77777777" w:rsidR="00FD4F2B" w:rsidRPr="00FD4F2B" w:rsidRDefault="00FD4F2B" w:rsidP="001538EF">
      <w:pPr>
        <w:autoSpaceDE w:val="0"/>
        <w:autoSpaceDN w:val="0"/>
        <w:adjustRightInd w:val="0"/>
        <w:rPr>
          <w:rFonts w:asciiTheme="minorHAnsi" w:hAnsiTheme="minorHAnsi"/>
          <w:b/>
          <w:bCs/>
          <w:sz w:val="20"/>
          <w:szCs w:val="20"/>
          <w:lang w:val="sr-Latn-BA" w:eastAsia="sr-Latn-RS"/>
        </w:rPr>
      </w:pPr>
    </w:p>
    <w:p w14:paraId="2A0CF467" w14:textId="77777777" w:rsidR="00130BFD" w:rsidRPr="00130BFD" w:rsidRDefault="001538EF" w:rsidP="00130BFD">
      <w:pPr>
        <w:autoSpaceDE w:val="0"/>
        <w:autoSpaceDN w:val="0"/>
        <w:adjustRightInd w:val="0"/>
        <w:jc w:val="center"/>
        <w:rPr>
          <w:rFonts w:asciiTheme="minorHAnsi" w:eastAsiaTheme="minorHAnsi" w:hAnsiTheme="minorHAnsi"/>
          <w:color w:val="auto"/>
          <w:sz w:val="20"/>
          <w:szCs w:val="20"/>
          <w:lang w:val="sr-Cyrl-RS" w:eastAsia="en-US"/>
        </w:rPr>
      </w:pPr>
      <w:r w:rsidRPr="005767EF">
        <w:rPr>
          <w:rFonts w:asciiTheme="minorHAnsi" w:hAnsiTheme="minorHAnsi"/>
          <w:b/>
          <w:bCs/>
          <w:sz w:val="20"/>
          <w:szCs w:val="20"/>
          <w:lang w:eastAsia="sr-Latn-RS"/>
        </w:rPr>
        <w:lastRenderedPageBreak/>
        <w:t>Pregled izdanih garancija po gradovima i opštinama u periodu 01.01.2023. - 31.12.2023. godine</w:t>
      </w:r>
    </w:p>
    <w:p w14:paraId="4E08DBE0" w14:textId="77777777" w:rsidR="00130BFD" w:rsidRPr="005767EF" w:rsidRDefault="00130BFD" w:rsidP="001538EF">
      <w:pPr>
        <w:autoSpaceDE w:val="0"/>
        <w:autoSpaceDN w:val="0"/>
        <w:adjustRightInd w:val="0"/>
        <w:rPr>
          <w:rFonts w:asciiTheme="minorHAnsi" w:eastAsiaTheme="minorHAnsi" w:hAnsiTheme="minorHAnsi"/>
          <w:color w:val="auto"/>
          <w:sz w:val="20"/>
          <w:szCs w:val="20"/>
          <w:lang w:val="sr-Cyrl-BA" w:eastAsia="en-US"/>
        </w:rPr>
      </w:pPr>
    </w:p>
    <w:p w14:paraId="44E7ECA7" w14:textId="77777777" w:rsidR="001538EF" w:rsidRPr="009342FB" w:rsidRDefault="001538EF" w:rsidP="001538EF">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t xml:space="preserve">                </w:t>
      </w:r>
      <w:r w:rsidR="00A944C8">
        <w:rPr>
          <w:rFonts w:asciiTheme="minorHAnsi" w:eastAsiaTheme="minorHAnsi" w:hAnsiTheme="minorHAnsi"/>
          <w:b/>
          <w:color w:val="auto"/>
          <w:sz w:val="20"/>
          <w:szCs w:val="20"/>
          <w:lang w:eastAsia="en-US"/>
        </w:rPr>
        <w:t>Tabela 11</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1991"/>
        <w:gridCol w:w="1843"/>
        <w:gridCol w:w="1701"/>
        <w:gridCol w:w="1701"/>
        <w:gridCol w:w="1559"/>
      </w:tblGrid>
      <w:tr w:rsidR="00130BFD" w:rsidRPr="00130BFD" w14:paraId="1CF4B58E" w14:textId="77777777" w:rsidTr="00BC6981">
        <w:trPr>
          <w:gridBefore w:val="1"/>
          <w:wBefore w:w="9" w:type="dxa"/>
          <w:trHeight w:val="822"/>
        </w:trPr>
        <w:tc>
          <w:tcPr>
            <w:tcW w:w="1991" w:type="dxa"/>
            <w:shd w:val="clear" w:color="auto" w:fill="8DB3E2" w:themeFill="text2" w:themeFillTint="66"/>
            <w:vAlign w:val="center"/>
            <w:hideMark/>
          </w:tcPr>
          <w:p w14:paraId="106E9910" w14:textId="77777777" w:rsidR="00130BFD" w:rsidRPr="00130BFD" w:rsidRDefault="00130BFD" w:rsidP="001538EF">
            <w:pPr>
              <w:jc w:val="center"/>
              <w:rPr>
                <w:rFonts w:asciiTheme="minorHAnsi" w:hAnsiTheme="minorHAnsi"/>
                <w:b/>
                <w:sz w:val="18"/>
                <w:szCs w:val="18"/>
                <w:lang w:val="sr-Latn-RS" w:eastAsia="sr-Latn-RS"/>
              </w:rPr>
            </w:pPr>
            <w:r w:rsidRPr="00130BFD">
              <w:rPr>
                <w:rFonts w:asciiTheme="minorHAnsi" w:hAnsiTheme="minorHAnsi"/>
                <w:b/>
                <w:sz w:val="18"/>
                <w:szCs w:val="18"/>
                <w:lang w:eastAsia="sr-Latn-RS"/>
              </w:rPr>
              <w:t>Grad/opština</w:t>
            </w:r>
          </w:p>
        </w:tc>
        <w:tc>
          <w:tcPr>
            <w:tcW w:w="1843" w:type="dxa"/>
            <w:shd w:val="clear" w:color="auto" w:fill="8DB3E2" w:themeFill="text2" w:themeFillTint="66"/>
            <w:vAlign w:val="center"/>
          </w:tcPr>
          <w:p w14:paraId="7DF2BED8" w14:textId="63436587" w:rsidR="00130BFD" w:rsidRPr="00130BFD" w:rsidRDefault="00130BFD" w:rsidP="00130BFD">
            <w:pPr>
              <w:jc w:val="center"/>
              <w:rPr>
                <w:rFonts w:asciiTheme="minorHAnsi" w:hAnsiTheme="minorHAnsi"/>
                <w:b/>
                <w:sz w:val="18"/>
                <w:szCs w:val="18"/>
                <w:lang w:val="sr-Latn-RS" w:eastAsia="sr-Latn-RS"/>
              </w:rPr>
            </w:pPr>
            <w:r w:rsidRPr="00130BFD">
              <w:rPr>
                <w:rFonts w:asciiTheme="minorHAnsi" w:hAnsiTheme="minorHAnsi"/>
                <w:b/>
                <w:sz w:val="18"/>
                <w:szCs w:val="18"/>
                <w:lang w:eastAsia="sr-Latn-RS"/>
              </w:rPr>
              <w:t xml:space="preserve">Broj </w:t>
            </w:r>
            <w:r w:rsidR="00FD4F2B">
              <w:rPr>
                <w:rFonts w:asciiTheme="minorHAnsi" w:hAnsiTheme="minorHAnsi"/>
                <w:b/>
                <w:sz w:val="18"/>
                <w:szCs w:val="18"/>
                <w:lang w:eastAsia="sr-Latn-RS"/>
              </w:rPr>
              <w:t>kredita</w:t>
            </w:r>
          </w:p>
        </w:tc>
        <w:tc>
          <w:tcPr>
            <w:tcW w:w="1701" w:type="dxa"/>
            <w:shd w:val="clear" w:color="auto" w:fill="8DB3E2" w:themeFill="text2" w:themeFillTint="66"/>
            <w:vAlign w:val="center"/>
            <w:hideMark/>
          </w:tcPr>
          <w:p w14:paraId="649061F9" w14:textId="77777777" w:rsidR="00130BFD" w:rsidRPr="00130BFD" w:rsidRDefault="00130BFD" w:rsidP="001538EF">
            <w:pPr>
              <w:jc w:val="center"/>
              <w:rPr>
                <w:rFonts w:asciiTheme="minorHAnsi" w:hAnsiTheme="minorHAnsi"/>
                <w:b/>
                <w:sz w:val="18"/>
                <w:szCs w:val="18"/>
                <w:lang w:val="sr-Latn-RS" w:eastAsia="sr-Latn-RS"/>
              </w:rPr>
            </w:pPr>
            <w:r w:rsidRPr="00130BFD">
              <w:rPr>
                <w:rFonts w:asciiTheme="minorHAnsi" w:hAnsiTheme="minorHAnsi"/>
                <w:b/>
                <w:sz w:val="18"/>
                <w:szCs w:val="18"/>
                <w:lang w:eastAsia="sr-Latn-RS"/>
              </w:rPr>
              <w:t>Iznos kredita</w:t>
            </w:r>
          </w:p>
        </w:tc>
        <w:tc>
          <w:tcPr>
            <w:tcW w:w="1701" w:type="dxa"/>
            <w:shd w:val="clear" w:color="auto" w:fill="8DB3E2" w:themeFill="text2" w:themeFillTint="66"/>
            <w:vAlign w:val="center"/>
            <w:hideMark/>
          </w:tcPr>
          <w:p w14:paraId="120B70E4" w14:textId="77777777" w:rsidR="00130BFD" w:rsidRPr="00130BFD" w:rsidRDefault="00130BFD" w:rsidP="001538EF">
            <w:pPr>
              <w:jc w:val="center"/>
              <w:rPr>
                <w:rFonts w:asciiTheme="minorHAnsi" w:hAnsiTheme="minorHAnsi"/>
                <w:b/>
                <w:sz w:val="18"/>
                <w:szCs w:val="18"/>
                <w:lang w:val="sr-Latn-RS" w:eastAsia="sr-Latn-RS"/>
              </w:rPr>
            </w:pPr>
            <w:r w:rsidRPr="00130BFD">
              <w:rPr>
                <w:rFonts w:asciiTheme="minorHAnsi" w:hAnsiTheme="minorHAnsi"/>
                <w:b/>
                <w:sz w:val="18"/>
                <w:szCs w:val="18"/>
                <w:lang w:eastAsia="sr-Latn-RS"/>
              </w:rPr>
              <w:t>Iznos garancije</w:t>
            </w:r>
          </w:p>
        </w:tc>
        <w:tc>
          <w:tcPr>
            <w:tcW w:w="1559" w:type="dxa"/>
            <w:shd w:val="clear" w:color="auto" w:fill="8DB3E2" w:themeFill="text2" w:themeFillTint="66"/>
            <w:vAlign w:val="center"/>
          </w:tcPr>
          <w:p w14:paraId="5BF68FBA" w14:textId="017A8A4B" w:rsidR="00130BFD" w:rsidRPr="00130BFD" w:rsidRDefault="00FD4F2B" w:rsidP="00130BFD">
            <w:pPr>
              <w:jc w:val="center"/>
              <w:rPr>
                <w:rFonts w:asciiTheme="minorHAnsi" w:hAnsiTheme="minorHAnsi"/>
                <w:b/>
                <w:sz w:val="18"/>
                <w:szCs w:val="18"/>
                <w:lang w:val="sr-Cyrl-RS" w:eastAsia="sr-Latn-RS"/>
              </w:rPr>
            </w:pPr>
            <w:r>
              <w:rPr>
                <w:rFonts w:asciiTheme="minorHAnsi" w:hAnsiTheme="minorHAnsi"/>
                <w:b/>
                <w:sz w:val="18"/>
                <w:szCs w:val="18"/>
                <w:lang w:eastAsia="sr-Latn-RS"/>
              </w:rPr>
              <w:t>Učešće</w:t>
            </w:r>
          </w:p>
        </w:tc>
      </w:tr>
      <w:tr w:rsidR="00130BFD" w:rsidRPr="00130BFD" w14:paraId="23D07B97" w14:textId="77777777" w:rsidTr="00130BFD">
        <w:trPr>
          <w:trHeight w:val="222"/>
        </w:trPr>
        <w:tc>
          <w:tcPr>
            <w:tcW w:w="2000" w:type="dxa"/>
            <w:gridSpan w:val="2"/>
            <w:shd w:val="clear" w:color="auto" w:fill="auto"/>
            <w:vAlign w:val="center"/>
            <w:hideMark/>
          </w:tcPr>
          <w:p w14:paraId="72E5BA09"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Banja Luka</w:t>
            </w:r>
          </w:p>
        </w:tc>
        <w:tc>
          <w:tcPr>
            <w:tcW w:w="1843" w:type="dxa"/>
            <w:shd w:val="clear" w:color="auto" w:fill="auto"/>
            <w:vAlign w:val="center"/>
            <w:hideMark/>
          </w:tcPr>
          <w:p w14:paraId="721EE6F9"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39</w:t>
            </w:r>
          </w:p>
        </w:tc>
        <w:tc>
          <w:tcPr>
            <w:tcW w:w="1701" w:type="dxa"/>
            <w:shd w:val="clear" w:color="auto" w:fill="auto"/>
            <w:vAlign w:val="center"/>
          </w:tcPr>
          <w:p w14:paraId="268FDA77"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10.285.000,01</w:t>
            </w:r>
          </w:p>
        </w:tc>
        <w:tc>
          <w:tcPr>
            <w:tcW w:w="1701" w:type="dxa"/>
            <w:shd w:val="clear" w:color="auto" w:fill="auto"/>
            <w:noWrap/>
            <w:vAlign w:val="center"/>
            <w:hideMark/>
          </w:tcPr>
          <w:p w14:paraId="77BCD261"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5.142.500,01</w:t>
            </w:r>
          </w:p>
        </w:tc>
        <w:tc>
          <w:tcPr>
            <w:tcW w:w="1559" w:type="dxa"/>
            <w:vAlign w:val="center"/>
          </w:tcPr>
          <w:p w14:paraId="21DFDA90"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34,56%</w:t>
            </w:r>
          </w:p>
        </w:tc>
      </w:tr>
      <w:tr w:rsidR="00130BFD" w:rsidRPr="00130BFD" w14:paraId="560710D4" w14:textId="77777777" w:rsidTr="00130BFD">
        <w:trPr>
          <w:trHeight w:val="222"/>
        </w:trPr>
        <w:tc>
          <w:tcPr>
            <w:tcW w:w="2000" w:type="dxa"/>
            <w:gridSpan w:val="2"/>
            <w:shd w:val="clear" w:color="auto" w:fill="auto"/>
            <w:vAlign w:val="center"/>
            <w:hideMark/>
          </w:tcPr>
          <w:p w14:paraId="102208F4" w14:textId="3807E90D"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Bijeljina</w:t>
            </w:r>
          </w:p>
        </w:tc>
        <w:tc>
          <w:tcPr>
            <w:tcW w:w="1843" w:type="dxa"/>
            <w:shd w:val="clear" w:color="auto" w:fill="auto"/>
            <w:vAlign w:val="center"/>
            <w:hideMark/>
          </w:tcPr>
          <w:p w14:paraId="04BE3BDB"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18</w:t>
            </w:r>
          </w:p>
        </w:tc>
        <w:tc>
          <w:tcPr>
            <w:tcW w:w="1701" w:type="dxa"/>
            <w:shd w:val="clear" w:color="auto" w:fill="auto"/>
            <w:vAlign w:val="center"/>
          </w:tcPr>
          <w:p w14:paraId="110AF16A"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3.860.000,02</w:t>
            </w:r>
          </w:p>
        </w:tc>
        <w:tc>
          <w:tcPr>
            <w:tcW w:w="1701" w:type="dxa"/>
            <w:shd w:val="clear" w:color="auto" w:fill="auto"/>
            <w:noWrap/>
            <w:vAlign w:val="center"/>
            <w:hideMark/>
          </w:tcPr>
          <w:p w14:paraId="6BDC3377"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1.930.000,01</w:t>
            </w:r>
          </w:p>
        </w:tc>
        <w:tc>
          <w:tcPr>
            <w:tcW w:w="1559" w:type="dxa"/>
            <w:vAlign w:val="center"/>
          </w:tcPr>
          <w:p w14:paraId="79AF52C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12,97%</w:t>
            </w:r>
          </w:p>
        </w:tc>
      </w:tr>
      <w:tr w:rsidR="00130BFD" w:rsidRPr="00130BFD" w14:paraId="5D02A3A5" w14:textId="77777777" w:rsidTr="00130BFD">
        <w:trPr>
          <w:trHeight w:val="222"/>
        </w:trPr>
        <w:tc>
          <w:tcPr>
            <w:tcW w:w="2000" w:type="dxa"/>
            <w:gridSpan w:val="2"/>
            <w:shd w:val="clear" w:color="auto" w:fill="auto"/>
            <w:vAlign w:val="center"/>
            <w:hideMark/>
          </w:tcPr>
          <w:p w14:paraId="681D76F2"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Čelinac</w:t>
            </w:r>
          </w:p>
        </w:tc>
        <w:tc>
          <w:tcPr>
            <w:tcW w:w="1843" w:type="dxa"/>
            <w:shd w:val="clear" w:color="auto" w:fill="auto"/>
            <w:vAlign w:val="center"/>
            <w:hideMark/>
          </w:tcPr>
          <w:p w14:paraId="4D690B43"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6</w:t>
            </w:r>
          </w:p>
        </w:tc>
        <w:tc>
          <w:tcPr>
            <w:tcW w:w="1701" w:type="dxa"/>
            <w:shd w:val="clear" w:color="auto" w:fill="auto"/>
            <w:vAlign w:val="center"/>
          </w:tcPr>
          <w:p w14:paraId="51E1F20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1.950.000,00</w:t>
            </w:r>
          </w:p>
        </w:tc>
        <w:tc>
          <w:tcPr>
            <w:tcW w:w="1701" w:type="dxa"/>
            <w:shd w:val="clear" w:color="auto" w:fill="auto"/>
            <w:noWrap/>
            <w:vAlign w:val="center"/>
            <w:hideMark/>
          </w:tcPr>
          <w:p w14:paraId="640E53C6"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975.000,00</w:t>
            </w:r>
          </w:p>
        </w:tc>
        <w:tc>
          <w:tcPr>
            <w:tcW w:w="1559" w:type="dxa"/>
            <w:vAlign w:val="center"/>
          </w:tcPr>
          <w:p w14:paraId="14B0C858"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6,55%</w:t>
            </w:r>
          </w:p>
        </w:tc>
      </w:tr>
      <w:tr w:rsidR="00130BFD" w:rsidRPr="00130BFD" w14:paraId="67C7B844" w14:textId="77777777" w:rsidTr="00130BFD">
        <w:trPr>
          <w:trHeight w:val="222"/>
        </w:trPr>
        <w:tc>
          <w:tcPr>
            <w:tcW w:w="2000" w:type="dxa"/>
            <w:gridSpan w:val="2"/>
            <w:shd w:val="clear" w:color="auto" w:fill="auto"/>
            <w:vAlign w:val="center"/>
            <w:hideMark/>
          </w:tcPr>
          <w:p w14:paraId="494CDC50"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Istočno Sarajevo</w:t>
            </w:r>
          </w:p>
        </w:tc>
        <w:tc>
          <w:tcPr>
            <w:tcW w:w="1843" w:type="dxa"/>
            <w:shd w:val="clear" w:color="auto" w:fill="auto"/>
            <w:vAlign w:val="center"/>
            <w:hideMark/>
          </w:tcPr>
          <w:p w14:paraId="24ACCE11"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8</w:t>
            </w:r>
          </w:p>
        </w:tc>
        <w:tc>
          <w:tcPr>
            <w:tcW w:w="1701" w:type="dxa"/>
            <w:shd w:val="clear" w:color="auto" w:fill="auto"/>
            <w:vAlign w:val="center"/>
          </w:tcPr>
          <w:p w14:paraId="146A3653"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1.230.000,00</w:t>
            </w:r>
          </w:p>
        </w:tc>
        <w:tc>
          <w:tcPr>
            <w:tcW w:w="1701" w:type="dxa"/>
            <w:shd w:val="clear" w:color="auto" w:fill="auto"/>
            <w:noWrap/>
            <w:vAlign w:val="center"/>
            <w:hideMark/>
          </w:tcPr>
          <w:p w14:paraId="49B2C0F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615.000,00</w:t>
            </w:r>
          </w:p>
        </w:tc>
        <w:tc>
          <w:tcPr>
            <w:tcW w:w="1559" w:type="dxa"/>
            <w:vAlign w:val="center"/>
          </w:tcPr>
          <w:p w14:paraId="69A1305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4,13%</w:t>
            </w:r>
          </w:p>
        </w:tc>
      </w:tr>
      <w:tr w:rsidR="00130BFD" w:rsidRPr="00130BFD" w14:paraId="1623EEE8" w14:textId="77777777" w:rsidTr="00130BFD">
        <w:trPr>
          <w:trHeight w:val="222"/>
        </w:trPr>
        <w:tc>
          <w:tcPr>
            <w:tcW w:w="2000" w:type="dxa"/>
            <w:gridSpan w:val="2"/>
            <w:shd w:val="clear" w:color="auto" w:fill="auto"/>
            <w:vAlign w:val="center"/>
            <w:hideMark/>
          </w:tcPr>
          <w:p w14:paraId="73F4F9EB" w14:textId="041560C5"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Pale</w:t>
            </w:r>
          </w:p>
        </w:tc>
        <w:tc>
          <w:tcPr>
            <w:tcW w:w="1843" w:type="dxa"/>
            <w:shd w:val="clear" w:color="auto" w:fill="auto"/>
            <w:vAlign w:val="center"/>
            <w:hideMark/>
          </w:tcPr>
          <w:p w14:paraId="182497D2"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9</w:t>
            </w:r>
          </w:p>
        </w:tc>
        <w:tc>
          <w:tcPr>
            <w:tcW w:w="1701" w:type="dxa"/>
            <w:shd w:val="clear" w:color="auto" w:fill="auto"/>
            <w:vAlign w:val="center"/>
          </w:tcPr>
          <w:p w14:paraId="4EE1190C"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1.105.000,00</w:t>
            </w:r>
          </w:p>
        </w:tc>
        <w:tc>
          <w:tcPr>
            <w:tcW w:w="1701" w:type="dxa"/>
            <w:shd w:val="clear" w:color="auto" w:fill="auto"/>
            <w:noWrap/>
            <w:vAlign w:val="center"/>
            <w:hideMark/>
          </w:tcPr>
          <w:p w14:paraId="2C8ABF5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552.500,00</w:t>
            </w:r>
          </w:p>
        </w:tc>
        <w:tc>
          <w:tcPr>
            <w:tcW w:w="1559" w:type="dxa"/>
            <w:vAlign w:val="center"/>
          </w:tcPr>
          <w:p w14:paraId="61DA7E16"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3,71%</w:t>
            </w:r>
          </w:p>
        </w:tc>
      </w:tr>
      <w:tr w:rsidR="00130BFD" w:rsidRPr="00130BFD" w14:paraId="038686CA" w14:textId="77777777" w:rsidTr="00130BFD">
        <w:trPr>
          <w:trHeight w:val="222"/>
        </w:trPr>
        <w:tc>
          <w:tcPr>
            <w:tcW w:w="2000" w:type="dxa"/>
            <w:gridSpan w:val="2"/>
            <w:shd w:val="clear" w:color="auto" w:fill="auto"/>
            <w:vAlign w:val="center"/>
            <w:hideMark/>
          </w:tcPr>
          <w:p w14:paraId="7B90F6BF" w14:textId="6E8EB3DC"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Teslić</w:t>
            </w:r>
          </w:p>
        </w:tc>
        <w:tc>
          <w:tcPr>
            <w:tcW w:w="1843" w:type="dxa"/>
            <w:shd w:val="clear" w:color="auto" w:fill="auto"/>
            <w:vAlign w:val="center"/>
            <w:hideMark/>
          </w:tcPr>
          <w:p w14:paraId="0356EDA2"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4</w:t>
            </w:r>
          </w:p>
        </w:tc>
        <w:tc>
          <w:tcPr>
            <w:tcW w:w="1701" w:type="dxa"/>
            <w:shd w:val="clear" w:color="auto" w:fill="auto"/>
            <w:vAlign w:val="center"/>
          </w:tcPr>
          <w:p w14:paraId="38E71739"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820.000,00</w:t>
            </w:r>
          </w:p>
        </w:tc>
        <w:tc>
          <w:tcPr>
            <w:tcW w:w="1701" w:type="dxa"/>
            <w:shd w:val="clear" w:color="auto" w:fill="auto"/>
            <w:noWrap/>
            <w:vAlign w:val="center"/>
            <w:hideMark/>
          </w:tcPr>
          <w:p w14:paraId="1472C877"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410.000,00</w:t>
            </w:r>
          </w:p>
        </w:tc>
        <w:tc>
          <w:tcPr>
            <w:tcW w:w="1559" w:type="dxa"/>
            <w:vAlign w:val="center"/>
          </w:tcPr>
          <w:p w14:paraId="1281402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2,76%</w:t>
            </w:r>
          </w:p>
        </w:tc>
      </w:tr>
      <w:tr w:rsidR="00130BFD" w:rsidRPr="00130BFD" w14:paraId="7AAE2D69" w14:textId="77777777" w:rsidTr="00130BFD">
        <w:trPr>
          <w:trHeight w:val="222"/>
        </w:trPr>
        <w:tc>
          <w:tcPr>
            <w:tcW w:w="2000" w:type="dxa"/>
            <w:gridSpan w:val="2"/>
            <w:shd w:val="clear" w:color="auto" w:fill="auto"/>
            <w:vAlign w:val="center"/>
            <w:hideMark/>
          </w:tcPr>
          <w:p w14:paraId="5AEDA176" w14:textId="45E8799A"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Srbac</w:t>
            </w:r>
          </w:p>
        </w:tc>
        <w:tc>
          <w:tcPr>
            <w:tcW w:w="1843" w:type="dxa"/>
            <w:shd w:val="clear" w:color="auto" w:fill="auto"/>
            <w:vAlign w:val="center"/>
            <w:hideMark/>
          </w:tcPr>
          <w:p w14:paraId="695820E7"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74F3337A"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850.000,00</w:t>
            </w:r>
          </w:p>
        </w:tc>
        <w:tc>
          <w:tcPr>
            <w:tcW w:w="1701" w:type="dxa"/>
            <w:shd w:val="clear" w:color="auto" w:fill="auto"/>
            <w:noWrap/>
            <w:vAlign w:val="center"/>
            <w:hideMark/>
          </w:tcPr>
          <w:p w14:paraId="310ACF4D"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425.000,00</w:t>
            </w:r>
          </w:p>
        </w:tc>
        <w:tc>
          <w:tcPr>
            <w:tcW w:w="1559" w:type="dxa"/>
            <w:vAlign w:val="center"/>
          </w:tcPr>
          <w:p w14:paraId="06BF79BE"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2,86%</w:t>
            </w:r>
          </w:p>
        </w:tc>
      </w:tr>
      <w:tr w:rsidR="00130BFD" w:rsidRPr="00130BFD" w14:paraId="02135D8C" w14:textId="77777777" w:rsidTr="00130BFD">
        <w:trPr>
          <w:trHeight w:val="222"/>
        </w:trPr>
        <w:tc>
          <w:tcPr>
            <w:tcW w:w="2000" w:type="dxa"/>
            <w:gridSpan w:val="2"/>
            <w:shd w:val="clear" w:color="auto" w:fill="auto"/>
            <w:vAlign w:val="center"/>
            <w:hideMark/>
          </w:tcPr>
          <w:p w14:paraId="0711089D" w14:textId="17E09394"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Modriča</w:t>
            </w:r>
          </w:p>
        </w:tc>
        <w:tc>
          <w:tcPr>
            <w:tcW w:w="1843" w:type="dxa"/>
            <w:shd w:val="clear" w:color="auto" w:fill="auto"/>
            <w:vAlign w:val="center"/>
            <w:hideMark/>
          </w:tcPr>
          <w:p w14:paraId="33841F11"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6EA8933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840.000,00</w:t>
            </w:r>
          </w:p>
        </w:tc>
        <w:tc>
          <w:tcPr>
            <w:tcW w:w="1701" w:type="dxa"/>
            <w:shd w:val="clear" w:color="auto" w:fill="auto"/>
            <w:noWrap/>
            <w:vAlign w:val="center"/>
            <w:hideMark/>
          </w:tcPr>
          <w:p w14:paraId="542455C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420.000,00</w:t>
            </w:r>
          </w:p>
        </w:tc>
        <w:tc>
          <w:tcPr>
            <w:tcW w:w="1559" w:type="dxa"/>
            <w:vAlign w:val="center"/>
          </w:tcPr>
          <w:p w14:paraId="10FAD6E9"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2,82%</w:t>
            </w:r>
          </w:p>
        </w:tc>
      </w:tr>
      <w:tr w:rsidR="00130BFD" w:rsidRPr="00130BFD" w14:paraId="41B9A875" w14:textId="77777777" w:rsidTr="00130BFD">
        <w:trPr>
          <w:trHeight w:val="222"/>
        </w:trPr>
        <w:tc>
          <w:tcPr>
            <w:tcW w:w="2000" w:type="dxa"/>
            <w:gridSpan w:val="2"/>
            <w:shd w:val="clear" w:color="auto" w:fill="auto"/>
            <w:vAlign w:val="center"/>
            <w:hideMark/>
          </w:tcPr>
          <w:p w14:paraId="3BF8807A" w14:textId="237394CE"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Bileća</w:t>
            </w:r>
          </w:p>
        </w:tc>
        <w:tc>
          <w:tcPr>
            <w:tcW w:w="1843" w:type="dxa"/>
            <w:shd w:val="clear" w:color="auto" w:fill="auto"/>
            <w:vAlign w:val="center"/>
            <w:hideMark/>
          </w:tcPr>
          <w:p w14:paraId="4765A023"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20BD4B10"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900.000,00</w:t>
            </w:r>
          </w:p>
        </w:tc>
        <w:tc>
          <w:tcPr>
            <w:tcW w:w="1701" w:type="dxa"/>
            <w:shd w:val="clear" w:color="auto" w:fill="auto"/>
            <w:noWrap/>
            <w:vAlign w:val="center"/>
            <w:hideMark/>
          </w:tcPr>
          <w:p w14:paraId="18F57151"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450.000,00</w:t>
            </w:r>
          </w:p>
        </w:tc>
        <w:tc>
          <w:tcPr>
            <w:tcW w:w="1559" w:type="dxa"/>
            <w:vAlign w:val="center"/>
          </w:tcPr>
          <w:p w14:paraId="1B08F55D"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3,02%</w:t>
            </w:r>
          </w:p>
        </w:tc>
      </w:tr>
      <w:tr w:rsidR="00130BFD" w:rsidRPr="00130BFD" w14:paraId="13C38B71" w14:textId="77777777" w:rsidTr="00130BFD">
        <w:trPr>
          <w:trHeight w:val="222"/>
        </w:trPr>
        <w:tc>
          <w:tcPr>
            <w:tcW w:w="2000" w:type="dxa"/>
            <w:gridSpan w:val="2"/>
            <w:shd w:val="clear" w:color="auto" w:fill="auto"/>
            <w:vAlign w:val="center"/>
            <w:hideMark/>
          </w:tcPr>
          <w:p w14:paraId="0A8068C6" w14:textId="1A81A14F"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Rogatica</w:t>
            </w:r>
          </w:p>
        </w:tc>
        <w:tc>
          <w:tcPr>
            <w:tcW w:w="1843" w:type="dxa"/>
            <w:shd w:val="clear" w:color="auto" w:fill="auto"/>
            <w:vAlign w:val="center"/>
            <w:hideMark/>
          </w:tcPr>
          <w:p w14:paraId="7B40265A"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3</w:t>
            </w:r>
          </w:p>
        </w:tc>
        <w:tc>
          <w:tcPr>
            <w:tcW w:w="1701" w:type="dxa"/>
            <w:shd w:val="clear" w:color="auto" w:fill="auto"/>
            <w:vAlign w:val="center"/>
          </w:tcPr>
          <w:p w14:paraId="670C5443"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180.000,00</w:t>
            </w:r>
          </w:p>
        </w:tc>
        <w:tc>
          <w:tcPr>
            <w:tcW w:w="1701" w:type="dxa"/>
            <w:shd w:val="clear" w:color="auto" w:fill="auto"/>
            <w:noWrap/>
            <w:vAlign w:val="center"/>
            <w:hideMark/>
          </w:tcPr>
          <w:p w14:paraId="5F097B0F"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90.000,00</w:t>
            </w:r>
          </w:p>
        </w:tc>
        <w:tc>
          <w:tcPr>
            <w:tcW w:w="1559" w:type="dxa"/>
            <w:vAlign w:val="center"/>
          </w:tcPr>
          <w:p w14:paraId="09C2DDCC"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0,60%</w:t>
            </w:r>
          </w:p>
        </w:tc>
      </w:tr>
      <w:tr w:rsidR="00130BFD" w:rsidRPr="00130BFD" w14:paraId="44D92230" w14:textId="77777777" w:rsidTr="00130BFD">
        <w:trPr>
          <w:trHeight w:val="222"/>
        </w:trPr>
        <w:tc>
          <w:tcPr>
            <w:tcW w:w="2000" w:type="dxa"/>
            <w:gridSpan w:val="2"/>
            <w:shd w:val="clear" w:color="auto" w:fill="auto"/>
            <w:vAlign w:val="center"/>
            <w:hideMark/>
          </w:tcPr>
          <w:p w14:paraId="4FC92798" w14:textId="1444DDF7"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Sokolac</w:t>
            </w:r>
          </w:p>
        </w:tc>
        <w:tc>
          <w:tcPr>
            <w:tcW w:w="1843" w:type="dxa"/>
            <w:shd w:val="clear" w:color="auto" w:fill="auto"/>
            <w:vAlign w:val="center"/>
            <w:hideMark/>
          </w:tcPr>
          <w:p w14:paraId="7300DF3D"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4</w:t>
            </w:r>
          </w:p>
        </w:tc>
        <w:tc>
          <w:tcPr>
            <w:tcW w:w="1701" w:type="dxa"/>
            <w:shd w:val="clear" w:color="auto" w:fill="auto"/>
            <w:vAlign w:val="center"/>
          </w:tcPr>
          <w:p w14:paraId="03810C0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1.030.000,01</w:t>
            </w:r>
          </w:p>
        </w:tc>
        <w:tc>
          <w:tcPr>
            <w:tcW w:w="1701" w:type="dxa"/>
            <w:shd w:val="clear" w:color="auto" w:fill="auto"/>
            <w:noWrap/>
            <w:vAlign w:val="center"/>
            <w:hideMark/>
          </w:tcPr>
          <w:p w14:paraId="08B6BBD1"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515.000,01</w:t>
            </w:r>
          </w:p>
        </w:tc>
        <w:tc>
          <w:tcPr>
            <w:tcW w:w="1559" w:type="dxa"/>
            <w:vAlign w:val="center"/>
          </w:tcPr>
          <w:p w14:paraId="654FE38A"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3,46%</w:t>
            </w:r>
          </w:p>
        </w:tc>
      </w:tr>
      <w:tr w:rsidR="00130BFD" w:rsidRPr="00130BFD" w14:paraId="0FA4072A" w14:textId="77777777" w:rsidTr="00130BFD">
        <w:trPr>
          <w:trHeight w:val="222"/>
        </w:trPr>
        <w:tc>
          <w:tcPr>
            <w:tcW w:w="2000" w:type="dxa"/>
            <w:gridSpan w:val="2"/>
            <w:shd w:val="clear" w:color="auto" w:fill="auto"/>
            <w:vAlign w:val="center"/>
            <w:hideMark/>
          </w:tcPr>
          <w:p w14:paraId="59016B58" w14:textId="69302516"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Milići</w:t>
            </w:r>
          </w:p>
        </w:tc>
        <w:tc>
          <w:tcPr>
            <w:tcW w:w="1843" w:type="dxa"/>
            <w:shd w:val="clear" w:color="auto" w:fill="auto"/>
            <w:vAlign w:val="center"/>
            <w:hideMark/>
          </w:tcPr>
          <w:p w14:paraId="267FFBFE"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tcPr>
          <w:p w14:paraId="16F2FDC4"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200.000,00</w:t>
            </w:r>
          </w:p>
        </w:tc>
        <w:tc>
          <w:tcPr>
            <w:tcW w:w="1701" w:type="dxa"/>
            <w:shd w:val="clear" w:color="auto" w:fill="auto"/>
            <w:noWrap/>
            <w:vAlign w:val="center"/>
            <w:hideMark/>
          </w:tcPr>
          <w:p w14:paraId="02FE0E6A"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100.000,00</w:t>
            </w:r>
          </w:p>
        </w:tc>
        <w:tc>
          <w:tcPr>
            <w:tcW w:w="1559" w:type="dxa"/>
            <w:vAlign w:val="center"/>
          </w:tcPr>
          <w:p w14:paraId="677BB38D"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0,67%</w:t>
            </w:r>
          </w:p>
        </w:tc>
      </w:tr>
      <w:tr w:rsidR="00130BFD" w:rsidRPr="00130BFD" w14:paraId="4AF98297" w14:textId="77777777" w:rsidTr="00130BFD">
        <w:trPr>
          <w:trHeight w:val="222"/>
        </w:trPr>
        <w:tc>
          <w:tcPr>
            <w:tcW w:w="2000" w:type="dxa"/>
            <w:gridSpan w:val="2"/>
            <w:shd w:val="clear" w:color="auto" w:fill="auto"/>
            <w:vAlign w:val="center"/>
            <w:hideMark/>
          </w:tcPr>
          <w:p w14:paraId="22B37FB2" w14:textId="66174DAA"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Gradiška</w:t>
            </w:r>
          </w:p>
        </w:tc>
        <w:tc>
          <w:tcPr>
            <w:tcW w:w="1843" w:type="dxa"/>
            <w:shd w:val="clear" w:color="auto" w:fill="auto"/>
            <w:vAlign w:val="center"/>
            <w:hideMark/>
          </w:tcPr>
          <w:p w14:paraId="5B36944C"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tcPr>
          <w:p w14:paraId="57E41022"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268.000,00</w:t>
            </w:r>
          </w:p>
        </w:tc>
        <w:tc>
          <w:tcPr>
            <w:tcW w:w="1701" w:type="dxa"/>
            <w:shd w:val="clear" w:color="auto" w:fill="auto"/>
            <w:noWrap/>
            <w:vAlign w:val="center"/>
            <w:hideMark/>
          </w:tcPr>
          <w:p w14:paraId="634BD119"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134.000,00</w:t>
            </w:r>
          </w:p>
        </w:tc>
        <w:tc>
          <w:tcPr>
            <w:tcW w:w="1559" w:type="dxa"/>
            <w:vAlign w:val="center"/>
          </w:tcPr>
          <w:p w14:paraId="6EA1A9BC"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0,90%</w:t>
            </w:r>
          </w:p>
        </w:tc>
      </w:tr>
      <w:tr w:rsidR="00130BFD" w:rsidRPr="00130BFD" w14:paraId="2EC8DF03" w14:textId="77777777" w:rsidTr="00130BFD">
        <w:trPr>
          <w:trHeight w:val="222"/>
        </w:trPr>
        <w:tc>
          <w:tcPr>
            <w:tcW w:w="2000" w:type="dxa"/>
            <w:gridSpan w:val="2"/>
            <w:shd w:val="clear" w:color="auto" w:fill="auto"/>
            <w:vAlign w:val="center"/>
            <w:hideMark/>
          </w:tcPr>
          <w:p w14:paraId="6113A6E8"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Kotor Varoš</w:t>
            </w:r>
          </w:p>
        </w:tc>
        <w:tc>
          <w:tcPr>
            <w:tcW w:w="1843" w:type="dxa"/>
            <w:shd w:val="clear" w:color="auto" w:fill="auto"/>
            <w:vAlign w:val="center"/>
            <w:hideMark/>
          </w:tcPr>
          <w:p w14:paraId="49F6FA22"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tcPr>
          <w:p w14:paraId="22E6BAC0"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1.049.999,99</w:t>
            </w:r>
          </w:p>
        </w:tc>
        <w:tc>
          <w:tcPr>
            <w:tcW w:w="1701" w:type="dxa"/>
            <w:shd w:val="clear" w:color="auto" w:fill="auto"/>
            <w:noWrap/>
            <w:vAlign w:val="center"/>
            <w:hideMark/>
          </w:tcPr>
          <w:p w14:paraId="08972DC5"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525.000,00</w:t>
            </w:r>
          </w:p>
        </w:tc>
        <w:tc>
          <w:tcPr>
            <w:tcW w:w="1559" w:type="dxa"/>
            <w:vAlign w:val="center"/>
          </w:tcPr>
          <w:p w14:paraId="2AC3A620" w14:textId="77777777" w:rsidR="00130BFD" w:rsidRPr="00130BFD" w:rsidRDefault="00130BFD" w:rsidP="0066469A">
            <w:pPr>
              <w:jc w:val="right"/>
              <w:rPr>
                <w:rFonts w:asciiTheme="minorHAnsi" w:hAnsiTheme="minorHAnsi" w:cs="Microsoft Sans Serif"/>
                <w:sz w:val="18"/>
                <w:szCs w:val="18"/>
              </w:rPr>
            </w:pPr>
            <w:r w:rsidRPr="00130BFD">
              <w:rPr>
                <w:rFonts w:asciiTheme="minorHAnsi" w:hAnsiTheme="minorHAnsi" w:cs="Microsoft Sans Serif"/>
                <w:sz w:val="18"/>
                <w:szCs w:val="18"/>
              </w:rPr>
              <w:t>3,53%</w:t>
            </w:r>
          </w:p>
        </w:tc>
      </w:tr>
      <w:tr w:rsidR="00130BFD" w:rsidRPr="00130BFD" w14:paraId="12FB5485" w14:textId="77777777" w:rsidTr="00130BFD">
        <w:trPr>
          <w:trHeight w:val="222"/>
        </w:trPr>
        <w:tc>
          <w:tcPr>
            <w:tcW w:w="2000" w:type="dxa"/>
            <w:gridSpan w:val="2"/>
            <w:shd w:val="clear" w:color="auto" w:fill="auto"/>
            <w:vAlign w:val="center"/>
            <w:hideMark/>
          </w:tcPr>
          <w:p w14:paraId="6B203135"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Zvornik</w:t>
            </w:r>
          </w:p>
        </w:tc>
        <w:tc>
          <w:tcPr>
            <w:tcW w:w="1843" w:type="dxa"/>
            <w:shd w:val="clear" w:color="auto" w:fill="auto"/>
            <w:vAlign w:val="center"/>
            <w:hideMark/>
          </w:tcPr>
          <w:p w14:paraId="4D0CA428"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hideMark/>
          </w:tcPr>
          <w:p w14:paraId="79026D91"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200.000,00</w:t>
            </w:r>
          </w:p>
        </w:tc>
        <w:tc>
          <w:tcPr>
            <w:tcW w:w="1701" w:type="dxa"/>
            <w:shd w:val="clear" w:color="auto" w:fill="auto"/>
            <w:vAlign w:val="center"/>
            <w:hideMark/>
          </w:tcPr>
          <w:p w14:paraId="6D32481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w:t>
            </w:r>
          </w:p>
        </w:tc>
        <w:tc>
          <w:tcPr>
            <w:tcW w:w="1559" w:type="dxa"/>
            <w:shd w:val="clear" w:color="auto" w:fill="auto"/>
            <w:noWrap/>
            <w:vAlign w:val="center"/>
            <w:hideMark/>
          </w:tcPr>
          <w:p w14:paraId="3D0564D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0,67%</w:t>
            </w:r>
          </w:p>
        </w:tc>
      </w:tr>
      <w:tr w:rsidR="00130BFD" w:rsidRPr="00130BFD" w14:paraId="19EB88AC" w14:textId="77777777" w:rsidTr="00130BFD">
        <w:trPr>
          <w:trHeight w:val="222"/>
        </w:trPr>
        <w:tc>
          <w:tcPr>
            <w:tcW w:w="2000" w:type="dxa"/>
            <w:gridSpan w:val="2"/>
            <w:shd w:val="clear" w:color="auto" w:fill="auto"/>
            <w:vAlign w:val="center"/>
            <w:hideMark/>
          </w:tcPr>
          <w:p w14:paraId="4EE62AD0" w14:textId="2B8A2F37"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Ugljevik</w:t>
            </w:r>
          </w:p>
        </w:tc>
        <w:tc>
          <w:tcPr>
            <w:tcW w:w="1843" w:type="dxa"/>
            <w:shd w:val="clear" w:color="auto" w:fill="auto"/>
            <w:vAlign w:val="center"/>
            <w:hideMark/>
          </w:tcPr>
          <w:p w14:paraId="6F0545C0"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hideMark/>
          </w:tcPr>
          <w:p w14:paraId="3851CEF0"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320.000,00</w:t>
            </w:r>
          </w:p>
        </w:tc>
        <w:tc>
          <w:tcPr>
            <w:tcW w:w="1701" w:type="dxa"/>
            <w:shd w:val="clear" w:color="auto" w:fill="auto"/>
            <w:vAlign w:val="center"/>
            <w:hideMark/>
          </w:tcPr>
          <w:p w14:paraId="357C8E27"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160.000,00</w:t>
            </w:r>
          </w:p>
        </w:tc>
        <w:tc>
          <w:tcPr>
            <w:tcW w:w="1559" w:type="dxa"/>
            <w:shd w:val="clear" w:color="auto" w:fill="auto"/>
            <w:noWrap/>
            <w:vAlign w:val="center"/>
            <w:hideMark/>
          </w:tcPr>
          <w:p w14:paraId="06663428"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1,08%</w:t>
            </w:r>
          </w:p>
        </w:tc>
      </w:tr>
      <w:tr w:rsidR="00130BFD" w:rsidRPr="00130BFD" w14:paraId="139F0327" w14:textId="77777777" w:rsidTr="00130BFD">
        <w:trPr>
          <w:trHeight w:val="222"/>
        </w:trPr>
        <w:tc>
          <w:tcPr>
            <w:tcW w:w="2000" w:type="dxa"/>
            <w:gridSpan w:val="2"/>
            <w:shd w:val="clear" w:color="auto" w:fill="auto"/>
            <w:vAlign w:val="center"/>
            <w:hideMark/>
          </w:tcPr>
          <w:p w14:paraId="7BE6F36A" w14:textId="47F18286"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Trebinje</w:t>
            </w:r>
          </w:p>
        </w:tc>
        <w:tc>
          <w:tcPr>
            <w:tcW w:w="1843" w:type="dxa"/>
            <w:shd w:val="clear" w:color="auto" w:fill="auto"/>
            <w:vAlign w:val="center"/>
            <w:hideMark/>
          </w:tcPr>
          <w:p w14:paraId="66152DE7"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558EF59F"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174.000,00</w:t>
            </w:r>
          </w:p>
        </w:tc>
        <w:tc>
          <w:tcPr>
            <w:tcW w:w="1701" w:type="dxa"/>
            <w:shd w:val="clear" w:color="auto" w:fill="auto"/>
            <w:vAlign w:val="center"/>
            <w:hideMark/>
          </w:tcPr>
          <w:p w14:paraId="6871B485"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87.000,00</w:t>
            </w:r>
          </w:p>
        </w:tc>
        <w:tc>
          <w:tcPr>
            <w:tcW w:w="1559" w:type="dxa"/>
            <w:shd w:val="clear" w:color="auto" w:fill="auto"/>
            <w:noWrap/>
            <w:vAlign w:val="center"/>
            <w:hideMark/>
          </w:tcPr>
          <w:p w14:paraId="6D273166"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0,58%</w:t>
            </w:r>
          </w:p>
        </w:tc>
      </w:tr>
      <w:tr w:rsidR="00130BFD" w:rsidRPr="00130BFD" w14:paraId="67106D4D" w14:textId="77777777" w:rsidTr="00130BFD">
        <w:trPr>
          <w:trHeight w:val="222"/>
        </w:trPr>
        <w:tc>
          <w:tcPr>
            <w:tcW w:w="2000" w:type="dxa"/>
            <w:gridSpan w:val="2"/>
            <w:shd w:val="clear" w:color="auto" w:fill="auto"/>
            <w:vAlign w:val="center"/>
            <w:hideMark/>
          </w:tcPr>
          <w:p w14:paraId="5648B4A0"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Laktaši</w:t>
            </w:r>
          </w:p>
        </w:tc>
        <w:tc>
          <w:tcPr>
            <w:tcW w:w="1843" w:type="dxa"/>
            <w:shd w:val="clear" w:color="auto" w:fill="auto"/>
            <w:vAlign w:val="center"/>
            <w:hideMark/>
          </w:tcPr>
          <w:p w14:paraId="3E464693"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2</w:t>
            </w:r>
          </w:p>
        </w:tc>
        <w:tc>
          <w:tcPr>
            <w:tcW w:w="1701" w:type="dxa"/>
            <w:shd w:val="clear" w:color="auto" w:fill="auto"/>
            <w:vAlign w:val="center"/>
            <w:hideMark/>
          </w:tcPr>
          <w:p w14:paraId="290E572F"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980.000,00</w:t>
            </w:r>
          </w:p>
        </w:tc>
        <w:tc>
          <w:tcPr>
            <w:tcW w:w="1701" w:type="dxa"/>
            <w:shd w:val="clear" w:color="auto" w:fill="auto"/>
            <w:vAlign w:val="center"/>
            <w:hideMark/>
          </w:tcPr>
          <w:p w14:paraId="2633817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490.000,00</w:t>
            </w:r>
          </w:p>
        </w:tc>
        <w:tc>
          <w:tcPr>
            <w:tcW w:w="1559" w:type="dxa"/>
            <w:shd w:val="clear" w:color="auto" w:fill="auto"/>
            <w:noWrap/>
            <w:vAlign w:val="center"/>
            <w:hideMark/>
          </w:tcPr>
          <w:p w14:paraId="20FB62F7"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3,29%</w:t>
            </w:r>
          </w:p>
        </w:tc>
      </w:tr>
      <w:tr w:rsidR="00130BFD" w:rsidRPr="00130BFD" w14:paraId="249AEA3C" w14:textId="77777777" w:rsidTr="00130BFD">
        <w:trPr>
          <w:trHeight w:val="222"/>
        </w:trPr>
        <w:tc>
          <w:tcPr>
            <w:tcW w:w="2000" w:type="dxa"/>
            <w:gridSpan w:val="2"/>
            <w:shd w:val="clear" w:color="auto" w:fill="auto"/>
            <w:vAlign w:val="center"/>
            <w:hideMark/>
          </w:tcPr>
          <w:p w14:paraId="7C3E1F6D" w14:textId="7814210B"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Petrovo</w:t>
            </w:r>
          </w:p>
        </w:tc>
        <w:tc>
          <w:tcPr>
            <w:tcW w:w="1843" w:type="dxa"/>
            <w:shd w:val="clear" w:color="auto" w:fill="auto"/>
            <w:vAlign w:val="center"/>
            <w:hideMark/>
          </w:tcPr>
          <w:p w14:paraId="76488D7C"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5868B5AC"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300.000,00</w:t>
            </w:r>
          </w:p>
        </w:tc>
        <w:tc>
          <w:tcPr>
            <w:tcW w:w="1701" w:type="dxa"/>
            <w:shd w:val="clear" w:color="auto" w:fill="auto"/>
            <w:vAlign w:val="center"/>
            <w:hideMark/>
          </w:tcPr>
          <w:p w14:paraId="440E696A"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150.000,00</w:t>
            </w:r>
          </w:p>
        </w:tc>
        <w:tc>
          <w:tcPr>
            <w:tcW w:w="1559" w:type="dxa"/>
            <w:shd w:val="clear" w:color="auto" w:fill="auto"/>
            <w:noWrap/>
            <w:vAlign w:val="center"/>
            <w:hideMark/>
          </w:tcPr>
          <w:p w14:paraId="77EEF0DB"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1,01%</w:t>
            </w:r>
          </w:p>
        </w:tc>
      </w:tr>
      <w:tr w:rsidR="00130BFD" w:rsidRPr="00130BFD" w14:paraId="4FA636B2" w14:textId="77777777" w:rsidTr="00130BFD">
        <w:trPr>
          <w:trHeight w:val="222"/>
        </w:trPr>
        <w:tc>
          <w:tcPr>
            <w:tcW w:w="2000" w:type="dxa"/>
            <w:gridSpan w:val="2"/>
            <w:shd w:val="clear" w:color="auto" w:fill="auto"/>
            <w:vAlign w:val="center"/>
            <w:hideMark/>
          </w:tcPr>
          <w:p w14:paraId="6618D031" w14:textId="54671AF5"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Prnjavor</w:t>
            </w:r>
          </w:p>
        </w:tc>
        <w:tc>
          <w:tcPr>
            <w:tcW w:w="1843" w:type="dxa"/>
            <w:shd w:val="clear" w:color="auto" w:fill="auto"/>
            <w:vAlign w:val="center"/>
            <w:hideMark/>
          </w:tcPr>
          <w:p w14:paraId="60F7E42E"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20F9A6A2"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1.000.000,00</w:t>
            </w:r>
          </w:p>
        </w:tc>
        <w:tc>
          <w:tcPr>
            <w:tcW w:w="1701" w:type="dxa"/>
            <w:shd w:val="clear" w:color="auto" w:fill="auto"/>
            <w:vAlign w:val="center"/>
            <w:hideMark/>
          </w:tcPr>
          <w:p w14:paraId="247A5A3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500.000,00</w:t>
            </w:r>
          </w:p>
        </w:tc>
        <w:tc>
          <w:tcPr>
            <w:tcW w:w="1559" w:type="dxa"/>
            <w:shd w:val="clear" w:color="auto" w:fill="auto"/>
            <w:noWrap/>
            <w:vAlign w:val="center"/>
            <w:hideMark/>
          </w:tcPr>
          <w:p w14:paraId="04E49148"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3,36%</w:t>
            </w:r>
          </w:p>
        </w:tc>
      </w:tr>
      <w:tr w:rsidR="00130BFD" w:rsidRPr="00130BFD" w14:paraId="1BE7AAF0" w14:textId="77777777" w:rsidTr="00130BFD">
        <w:trPr>
          <w:trHeight w:val="222"/>
        </w:trPr>
        <w:tc>
          <w:tcPr>
            <w:tcW w:w="2000" w:type="dxa"/>
            <w:gridSpan w:val="2"/>
            <w:shd w:val="clear" w:color="auto" w:fill="auto"/>
            <w:vAlign w:val="center"/>
            <w:hideMark/>
          </w:tcPr>
          <w:p w14:paraId="368D25B4" w14:textId="59CB414A"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Kneževo</w:t>
            </w:r>
          </w:p>
        </w:tc>
        <w:tc>
          <w:tcPr>
            <w:tcW w:w="1843" w:type="dxa"/>
            <w:shd w:val="clear" w:color="auto" w:fill="auto"/>
            <w:vAlign w:val="center"/>
            <w:hideMark/>
          </w:tcPr>
          <w:p w14:paraId="5FEC3877"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043F116A"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50.000,00</w:t>
            </w:r>
          </w:p>
        </w:tc>
        <w:tc>
          <w:tcPr>
            <w:tcW w:w="1701" w:type="dxa"/>
            <w:shd w:val="clear" w:color="auto" w:fill="auto"/>
            <w:vAlign w:val="center"/>
            <w:hideMark/>
          </w:tcPr>
          <w:p w14:paraId="028BBD5E"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25.000,00</w:t>
            </w:r>
          </w:p>
        </w:tc>
        <w:tc>
          <w:tcPr>
            <w:tcW w:w="1559" w:type="dxa"/>
            <w:shd w:val="clear" w:color="auto" w:fill="auto"/>
            <w:noWrap/>
            <w:vAlign w:val="center"/>
            <w:hideMark/>
          </w:tcPr>
          <w:p w14:paraId="45EC78EB"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0,17%</w:t>
            </w:r>
          </w:p>
        </w:tc>
      </w:tr>
      <w:tr w:rsidR="00130BFD" w:rsidRPr="00130BFD" w14:paraId="4E08C248" w14:textId="77777777" w:rsidTr="00130BFD">
        <w:trPr>
          <w:trHeight w:val="222"/>
        </w:trPr>
        <w:tc>
          <w:tcPr>
            <w:tcW w:w="2000" w:type="dxa"/>
            <w:gridSpan w:val="2"/>
            <w:shd w:val="clear" w:color="auto" w:fill="auto"/>
            <w:vAlign w:val="center"/>
            <w:hideMark/>
          </w:tcPr>
          <w:p w14:paraId="21958252"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Kozarska Dubica</w:t>
            </w:r>
          </w:p>
        </w:tc>
        <w:tc>
          <w:tcPr>
            <w:tcW w:w="1843" w:type="dxa"/>
            <w:shd w:val="clear" w:color="auto" w:fill="auto"/>
            <w:vAlign w:val="center"/>
            <w:hideMark/>
          </w:tcPr>
          <w:p w14:paraId="7FB5420D"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67B3EAC0"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300.000,00</w:t>
            </w:r>
          </w:p>
        </w:tc>
        <w:tc>
          <w:tcPr>
            <w:tcW w:w="1701" w:type="dxa"/>
            <w:shd w:val="clear" w:color="auto" w:fill="auto"/>
            <w:vAlign w:val="center"/>
            <w:hideMark/>
          </w:tcPr>
          <w:p w14:paraId="7C41B5AB"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150.000,00</w:t>
            </w:r>
          </w:p>
        </w:tc>
        <w:tc>
          <w:tcPr>
            <w:tcW w:w="1559" w:type="dxa"/>
            <w:shd w:val="clear" w:color="auto" w:fill="auto"/>
            <w:noWrap/>
            <w:vAlign w:val="center"/>
            <w:hideMark/>
          </w:tcPr>
          <w:p w14:paraId="7FE34CDD"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1,01%</w:t>
            </w:r>
          </w:p>
        </w:tc>
      </w:tr>
      <w:tr w:rsidR="00130BFD" w:rsidRPr="00130BFD" w14:paraId="183E8B51" w14:textId="77777777" w:rsidTr="00130BFD">
        <w:trPr>
          <w:trHeight w:val="222"/>
        </w:trPr>
        <w:tc>
          <w:tcPr>
            <w:tcW w:w="2000" w:type="dxa"/>
            <w:gridSpan w:val="2"/>
            <w:shd w:val="clear" w:color="auto" w:fill="auto"/>
            <w:vAlign w:val="center"/>
            <w:hideMark/>
          </w:tcPr>
          <w:p w14:paraId="411211B5" w14:textId="08B185C1"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Brčko</w:t>
            </w:r>
            <w:r w:rsidR="00FD4F2B">
              <w:rPr>
                <w:rFonts w:asciiTheme="minorHAnsi" w:hAnsiTheme="minorHAnsi" w:cs="Microsoft Sans Serif"/>
                <w:sz w:val="18"/>
                <w:szCs w:val="18"/>
              </w:rPr>
              <w:t xml:space="preserve"> Distrikt</w:t>
            </w:r>
          </w:p>
        </w:tc>
        <w:tc>
          <w:tcPr>
            <w:tcW w:w="1843" w:type="dxa"/>
            <w:shd w:val="clear" w:color="auto" w:fill="auto"/>
            <w:vAlign w:val="center"/>
            <w:hideMark/>
          </w:tcPr>
          <w:p w14:paraId="6D3E2684"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04588706"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w:t>
            </w:r>
          </w:p>
        </w:tc>
        <w:tc>
          <w:tcPr>
            <w:tcW w:w="1701" w:type="dxa"/>
            <w:shd w:val="clear" w:color="auto" w:fill="auto"/>
            <w:vAlign w:val="center"/>
            <w:hideMark/>
          </w:tcPr>
          <w:p w14:paraId="5340A867"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7.500,00</w:t>
            </w:r>
          </w:p>
        </w:tc>
        <w:tc>
          <w:tcPr>
            <w:tcW w:w="1559" w:type="dxa"/>
            <w:shd w:val="clear" w:color="auto" w:fill="auto"/>
            <w:noWrap/>
            <w:vAlign w:val="center"/>
            <w:hideMark/>
          </w:tcPr>
          <w:p w14:paraId="72894C3C"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0,05%</w:t>
            </w:r>
          </w:p>
        </w:tc>
      </w:tr>
      <w:tr w:rsidR="00130BFD" w:rsidRPr="00130BFD" w14:paraId="759336E0" w14:textId="77777777" w:rsidTr="00130BFD">
        <w:trPr>
          <w:trHeight w:val="222"/>
        </w:trPr>
        <w:tc>
          <w:tcPr>
            <w:tcW w:w="2000" w:type="dxa"/>
            <w:gridSpan w:val="2"/>
            <w:shd w:val="clear" w:color="auto" w:fill="auto"/>
            <w:vAlign w:val="center"/>
            <w:hideMark/>
          </w:tcPr>
          <w:p w14:paraId="32735D19" w14:textId="220EC46D"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Čajniče</w:t>
            </w:r>
          </w:p>
        </w:tc>
        <w:tc>
          <w:tcPr>
            <w:tcW w:w="1843" w:type="dxa"/>
            <w:shd w:val="clear" w:color="auto" w:fill="auto"/>
            <w:vAlign w:val="center"/>
            <w:hideMark/>
          </w:tcPr>
          <w:p w14:paraId="0EC7442E"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0D8F3FC1"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200.000,00</w:t>
            </w:r>
          </w:p>
        </w:tc>
        <w:tc>
          <w:tcPr>
            <w:tcW w:w="1701" w:type="dxa"/>
            <w:shd w:val="clear" w:color="auto" w:fill="auto"/>
            <w:vAlign w:val="center"/>
            <w:hideMark/>
          </w:tcPr>
          <w:p w14:paraId="4B8D7494"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w:t>
            </w:r>
          </w:p>
        </w:tc>
        <w:tc>
          <w:tcPr>
            <w:tcW w:w="1559" w:type="dxa"/>
            <w:shd w:val="clear" w:color="auto" w:fill="auto"/>
            <w:noWrap/>
            <w:vAlign w:val="center"/>
            <w:hideMark/>
          </w:tcPr>
          <w:p w14:paraId="0CBE24B7"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0,67%</w:t>
            </w:r>
          </w:p>
        </w:tc>
      </w:tr>
      <w:tr w:rsidR="00130BFD" w:rsidRPr="00130BFD" w14:paraId="4280286F" w14:textId="77777777" w:rsidTr="00130BFD">
        <w:trPr>
          <w:trHeight w:val="274"/>
        </w:trPr>
        <w:tc>
          <w:tcPr>
            <w:tcW w:w="2000" w:type="dxa"/>
            <w:gridSpan w:val="2"/>
            <w:shd w:val="clear" w:color="auto" w:fill="auto"/>
            <w:vAlign w:val="center"/>
            <w:hideMark/>
          </w:tcPr>
          <w:p w14:paraId="2BAD2AA2" w14:textId="2CB8D733"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Ljubinje</w:t>
            </w:r>
          </w:p>
        </w:tc>
        <w:tc>
          <w:tcPr>
            <w:tcW w:w="1843" w:type="dxa"/>
            <w:shd w:val="clear" w:color="auto" w:fill="auto"/>
            <w:vAlign w:val="center"/>
            <w:hideMark/>
          </w:tcPr>
          <w:p w14:paraId="2D495B0D"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7236BF29"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300.000,00</w:t>
            </w:r>
          </w:p>
        </w:tc>
        <w:tc>
          <w:tcPr>
            <w:tcW w:w="1701" w:type="dxa"/>
            <w:shd w:val="clear" w:color="auto" w:fill="auto"/>
            <w:vAlign w:val="center"/>
            <w:hideMark/>
          </w:tcPr>
          <w:p w14:paraId="39508600"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150.000,00</w:t>
            </w:r>
          </w:p>
        </w:tc>
        <w:tc>
          <w:tcPr>
            <w:tcW w:w="1559" w:type="dxa"/>
            <w:shd w:val="clear" w:color="auto" w:fill="auto"/>
            <w:noWrap/>
            <w:vAlign w:val="center"/>
            <w:hideMark/>
          </w:tcPr>
          <w:p w14:paraId="61317C73"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1,01%</w:t>
            </w:r>
          </w:p>
        </w:tc>
      </w:tr>
      <w:tr w:rsidR="00130BFD" w:rsidRPr="00130BFD" w14:paraId="688F1B0D" w14:textId="77777777" w:rsidTr="00130BFD">
        <w:trPr>
          <w:trHeight w:val="255"/>
        </w:trPr>
        <w:tc>
          <w:tcPr>
            <w:tcW w:w="2000" w:type="dxa"/>
            <w:gridSpan w:val="2"/>
            <w:shd w:val="clear" w:color="auto" w:fill="auto"/>
            <w:vAlign w:val="center"/>
            <w:hideMark/>
          </w:tcPr>
          <w:p w14:paraId="499C104D" w14:textId="77777777" w:rsidR="00130BFD" w:rsidRPr="00130BFD" w:rsidRDefault="00130BFD">
            <w:pPr>
              <w:rPr>
                <w:rFonts w:asciiTheme="minorHAnsi" w:hAnsiTheme="minorHAnsi" w:cs="Microsoft Sans Serif"/>
                <w:sz w:val="18"/>
                <w:szCs w:val="18"/>
              </w:rPr>
            </w:pPr>
            <w:r w:rsidRPr="00130BFD">
              <w:rPr>
                <w:rFonts w:asciiTheme="minorHAnsi" w:hAnsiTheme="minorHAnsi" w:cs="Microsoft Sans Serif"/>
                <w:sz w:val="18"/>
                <w:szCs w:val="18"/>
              </w:rPr>
              <w:t>Nevesinje</w:t>
            </w:r>
          </w:p>
        </w:tc>
        <w:tc>
          <w:tcPr>
            <w:tcW w:w="1843" w:type="dxa"/>
            <w:shd w:val="clear" w:color="auto" w:fill="auto"/>
            <w:vAlign w:val="center"/>
            <w:hideMark/>
          </w:tcPr>
          <w:p w14:paraId="032A3BFC"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064BD624"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355.000,00</w:t>
            </w:r>
          </w:p>
        </w:tc>
        <w:tc>
          <w:tcPr>
            <w:tcW w:w="1701" w:type="dxa"/>
            <w:shd w:val="clear" w:color="auto" w:fill="auto"/>
            <w:vAlign w:val="center"/>
            <w:hideMark/>
          </w:tcPr>
          <w:p w14:paraId="2662E146"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177.500,00</w:t>
            </w:r>
          </w:p>
        </w:tc>
        <w:tc>
          <w:tcPr>
            <w:tcW w:w="1559" w:type="dxa"/>
            <w:shd w:val="clear" w:color="auto" w:fill="auto"/>
            <w:noWrap/>
            <w:vAlign w:val="center"/>
            <w:hideMark/>
          </w:tcPr>
          <w:p w14:paraId="3A68FBC2"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1,19%</w:t>
            </w:r>
          </w:p>
        </w:tc>
      </w:tr>
      <w:tr w:rsidR="00130BFD" w:rsidRPr="00130BFD" w14:paraId="121AA109" w14:textId="77777777" w:rsidTr="00130BFD">
        <w:trPr>
          <w:trHeight w:val="255"/>
        </w:trPr>
        <w:tc>
          <w:tcPr>
            <w:tcW w:w="2000" w:type="dxa"/>
            <w:gridSpan w:val="2"/>
            <w:shd w:val="clear" w:color="auto" w:fill="auto"/>
            <w:vAlign w:val="center"/>
            <w:hideMark/>
          </w:tcPr>
          <w:p w14:paraId="550DB483" w14:textId="6081DF1D" w:rsidR="00130BFD" w:rsidRPr="00130BFD" w:rsidRDefault="00FD4F2B">
            <w:pPr>
              <w:rPr>
                <w:rFonts w:asciiTheme="minorHAnsi" w:hAnsiTheme="minorHAnsi" w:cs="Microsoft Sans Serif"/>
                <w:sz w:val="18"/>
                <w:szCs w:val="18"/>
              </w:rPr>
            </w:pPr>
            <w:r>
              <w:rPr>
                <w:rFonts w:asciiTheme="minorHAnsi" w:hAnsiTheme="minorHAnsi" w:cs="Microsoft Sans Serif"/>
                <w:sz w:val="18"/>
                <w:szCs w:val="18"/>
              </w:rPr>
              <w:t>Šekovići</w:t>
            </w:r>
          </w:p>
        </w:tc>
        <w:tc>
          <w:tcPr>
            <w:tcW w:w="1843" w:type="dxa"/>
            <w:shd w:val="clear" w:color="auto" w:fill="auto"/>
            <w:vAlign w:val="center"/>
            <w:hideMark/>
          </w:tcPr>
          <w:p w14:paraId="09D2E9EC" w14:textId="77777777" w:rsidR="00130BFD" w:rsidRPr="00130BFD" w:rsidRDefault="00130BFD">
            <w:pPr>
              <w:jc w:val="center"/>
              <w:rPr>
                <w:rFonts w:asciiTheme="minorHAnsi" w:hAnsiTheme="minorHAnsi" w:cs="Microsoft Sans Serif"/>
                <w:sz w:val="18"/>
                <w:szCs w:val="18"/>
              </w:rPr>
            </w:pPr>
            <w:r w:rsidRPr="00130BFD">
              <w:rPr>
                <w:rFonts w:asciiTheme="minorHAnsi" w:hAnsiTheme="minorHAnsi" w:cs="Microsoft Sans Serif"/>
                <w:sz w:val="18"/>
                <w:szCs w:val="18"/>
              </w:rPr>
              <w:t>1</w:t>
            </w:r>
          </w:p>
        </w:tc>
        <w:tc>
          <w:tcPr>
            <w:tcW w:w="1701" w:type="dxa"/>
            <w:shd w:val="clear" w:color="auto" w:fill="auto"/>
            <w:vAlign w:val="center"/>
            <w:hideMark/>
          </w:tcPr>
          <w:p w14:paraId="7B64BE86"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1.000.000,00</w:t>
            </w:r>
          </w:p>
        </w:tc>
        <w:tc>
          <w:tcPr>
            <w:tcW w:w="1701" w:type="dxa"/>
            <w:shd w:val="clear" w:color="auto" w:fill="auto"/>
            <w:vAlign w:val="center"/>
            <w:hideMark/>
          </w:tcPr>
          <w:p w14:paraId="62EE18EF"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500.000,00</w:t>
            </w:r>
          </w:p>
        </w:tc>
        <w:tc>
          <w:tcPr>
            <w:tcW w:w="1559" w:type="dxa"/>
            <w:shd w:val="clear" w:color="auto" w:fill="auto"/>
            <w:noWrap/>
            <w:vAlign w:val="center"/>
            <w:hideMark/>
          </w:tcPr>
          <w:p w14:paraId="633F6535" w14:textId="77777777" w:rsidR="00130BFD" w:rsidRPr="00130BFD" w:rsidRDefault="00130BFD">
            <w:pPr>
              <w:jc w:val="right"/>
              <w:rPr>
                <w:rFonts w:asciiTheme="minorHAnsi" w:hAnsiTheme="minorHAnsi" w:cs="Microsoft Sans Serif"/>
                <w:sz w:val="18"/>
                <w:szCs w:val="18"/>
              </w:rPr>
            </w:pPr>
            <w:r w:rsidRPr="00130BFD">
              <w:rPr>
                <w:rFonts w:asciiTheme="minorHAnsi" w:hAnsiTheme="minorHAnsi" w:cs="Microsoft Sans Serif"/>
                <w:sz w:val="18"/>
                <w:szCs w:val="18"/>
              </w:rPr>
              <w:t>3,36%</w:t>
            </w:r>
          </w:p>
        </w:tc>
      </w:tr>
      <w:tr w:rsidR="00130BFD" w:rsidRPr="00130BFD" w14:paraId="14AAB2BD" w14:textId="77777777" w:rsidTr="00BC6981">
        <w:trPr>
          <w:trHeight w:val="255"/>
        </w:trPr>
        <w:tc>
          <w:tcPr>
            <w:tcW w:w="2000" w:type="dxa"/>
            <w:gridSpan w:val="2"/>
            <w:shd w:val="clear" w:color="auto" w:fill="8DB3E2" w:themeFill="text2" w:themeFillTint="66"/>
            <w:vAlign w:val="center"/>
          </w:tcPr>
          <w:p w14:paraId="22A096A3" w14:textId="7B2CFDAB" w:rsidR="00130BFD" w:rsidRPr="00130BFD" w:rsidRDefault="00FD4F2B" w:rsidP="008A780A">
            <w:pPr>
              <w:jc w:val="center"/>
              <w:rPr>
                <w:rFonts w:asciiTheme="minorHAnsi" w:hAnsiTheme="minorHAnsi" w:cs="Microsoft Sans Serif"/>
                <w:b/>
                <w:sz w:val="18"/>
                <w:szCs w:val="18"/>
                <w:lang w:val="sr-Cyrl-RS"/>
              </w:rPr>
            </w:pPr>
            <w:r>
              <w:rPr>
                <w:rFonts w:asciiTheme="minorHAnsi" w:hAnsiTheme="minorHAnsi" w:cs="Microsoft Sans Serif"/>
                <w:b/>
                <w:sz w:val="18"/>
                <w:szCs w:val="18"/>
              </w:rPr>
              <w:t>UKUPNO</w:t>
            </w:r>
          </w:p>
        </w:tc>
        <w:tc>
          <w:tcPr>
            <w:tcW w:w="1843" w:type="dxa"/>
            <w:shd w:val="clear" w:color="auto" w:fill="8DB3E2" w:themeFill="text2" w:themeFillTint="66"/>
            <w:vAlign w:val="center"/>
          </w:tcPr>
          <w:p w14:paraId="05BF9FD2" w14:textId="77777777" w:rsidR="00130BFD" w:rsidRPr="00130BFD" w:rsidRDefault="00130BFD">
            <w:pPr>
              <w:jc w:val="center"/>
              <w:rPr>
                <w:rFonts w:asciiTheme="minorHAnsi" w:hAnsiTheme="minorHAnsi" w:cs="Microsoft Sans Serif"/>
                <w:b/>
                <w:sz w:val="18"/>
                <w:szCs w:val="18"/>
                <w:lang w:val="sr-Cyrl-RS"/>
              </w:rPr>
            </w:pPr>
            <w:r>
              <w:rPr>
                <w:rFonts w:asciiTheme="minorHAnsi" w:hAnsiTheme="minorHAnsi" w:cs="Microsoft Sans Serif"/>
                <w:b/>
                <w:sz w:val="18"/>
                <w:szCs w:val="18"/>
              </w:rPr>
              <w:t>122</w:t>
            </w:r>
          </w:p>
        </w:tc>
        <w:tc>
          <w:tcPr>
            <w:tcW w:w="1701" w:type="dxa"/>
            <w:shd w:val="clear" w:color="auto" w:fill="8DB3E2" w:themeFill="text2" w:themeFillTint="66"/>
            <w:vAlign w:val="center"/>
          </w:tcPr>
          <w:p w14:paraId="2362DC09" w14:textId="77777777" w:rsidR="00130BFD" w:rsidRPr="008A780A" w:rsidRDefault="00130BFD" w:rsidP="00130BFD">
            <w:pPr>
              <w:jc w:val="right"/>
              <w:rPr>
                <w:rFonts w:asciiTheme="minorHAnsi" w:hAnsiTheme="minorHAnsi" w:cs="Microsoft Sans Serif"/>
                <w:b/>
                <w:bCs/>
                <w:sz w:val="18"/>
                <w:szCs w:val="18"/>
              </w:rPr>
            </w:pPr>
            <w:r w:rsidRPr="008A780A">
              <w:rPr>
                <w:rFonts w:asciiTheme="minorHAnsi" w:hAnsiTheme="minorHAnsi" w:cs="Microsoft Sans Serif"/>
                <w:b/>
                <w:bCs/>
                <w:sz w:val="18"/>
                <w:szCs w:val="18"/>
              </w:rPr>
              <w:t>29.762.000,03</w:t>
            </w:r>
          </w:p>
        </w:tc>
        <w:tc>
          <w:tcPr>
            <w:tcW w:w="1701" w:type="dxa"/>
            <w:shd w:val="clear" w:color="auto" w:fill="8DB3E2" w:themeFill="text2" w:themeFillTint="66"/>
            <w:vAlign w:val="center"/>
          </w:tcPr>
          <w:p w14:paraId="22A00735" w14:textId="77777777" w:rsidR="00130BFD" w:rsidRPr="008A780A" w:rsidRDefault="00130BFD" w:rsidP="00130BFD">
            <w:pPr>
              <w:jc w:val="right"/>
              <w:rPr>
                <w:rFonts w:asciiTheme="minorHAnsi" w:hAnsiTheme="minorHAnsi" w:cs="Microsoft Sans Serif"/>
                <w:b/>
                <w:bCs/>
                <w:sz w:val="18"/>
                <w:szCs w:val="18"/>
                <w:lang w:val="sr-Cyrl-RS"/>
              </w:rPr>
            </w:pPr>
            <w:r w:rsidRPr="008A780A">
              <w:rPr>
                <w:rFonts w:asciiTheme="minorHAnsi" w:hAnsiTheme="minorHAnsi" w:cs="Microsoft Sans Serif"/>
                <w:b/>
                <w:bCs/>
                <w:sz w:val="18"/>
                <w:szCs w:val="18"/>
              </w:rPr>
              <w:t>14.881.000,03</w:t>
            </w:r>
          </w:p>
        </w:tc>
        <w:tc>
          <w:tcPr>
            <w:tcW w:w="1559" w:type="dxa"/>
            <w:shd w:val="clear" w:color="auto" w:fill="8DB3E2" w:themeFill="text2" w:themeFillTint="66"/>
            <w:noWrap/>
            <w:vAlign w:val="center"/>
          </w:tcPr>
          <w:p w14:paraId="70415019" w14:textId="77777777" w:rsidR="00130BFD" w:rsidRPr="008A780A" w:rsidRDefault="00130BFD">
            <w:pPr>
              <w:jc w:val="right"/>
              <w:rPr>
                <w:rFonts w:asciiTheme="minorHAnsi" w:hAnsiTheme="minorHAnsi" w:cs="Microsoft Sans Serif"/>
                <w:b/>
                <w:sz w:val="18"/>
                <w:szCs w:val="18"/>
                <w:lang w:val="sr-Cyrl-RS"/>
              </w:rPr>
            </w:pPr>
            <w:r w:rsidRPr="008A780A">
              <w:rPr>
                <w:rFonts w:asciiTheme="minorHAnsi" w:hAnsiTheme="minorHAnsi" w:cs="Microsoft Sans Serif"/>
                <w:b/>
                <w:sz w:val="18"/>
                <w:szCs w:val="18"/>
              </w:rPr>
              <w:t>100,00%</w:t>
            </w:r>
          </w:p>
        </w:tc>
      </w:tr>
    </w:tbl>
    <w:p w14:paraId="7397C69D" w14:textId="77777777"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20AB5997" w14:textId="77777777" w:rsidR="001538EF" w:rsidRDefault="001538EF" w:rsidP="005B57E0">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Kada je u pitanju disperzija izdanih garancija po gradovima i opštinama, može se konstatovati da je najviše garancija iz kreditnog portfelja tokom 2023. godine usmjereno prema poslovnim subjektima sa područja Banja Luke, Bijeljine i Čelinca. Garancije izdane radi obezbjeđenja kredita privrednika iz dva navedena grada i jedne opštine imaju učešće od 54,08% u ukupno izdanim garancijama u okviru kreditnog portfelja.</w:t>
      </w:r>
    </w:p>
    <w:p w14:paraId="6898C6B3" w14:textId="77777777" w:rsidR="00C12ECB" w:rsidRDefault="00C12ECB" w:rsidP="005B57E0">
      <w:pPr>
        <w:autoSpaceDE w:val="0"/>
        <w:autoSpaceDN w:val="0"/>
        <w:adjustRightInd w:val="0"/>
        <w:rPr>
          <w:rFonts w:asciiTheme="minorHAnsi" w:eastAsiaTheme="minorHAnsi" w:hAnsiTheme="minorHAnsi"/>
          <w:color w:val="auto"/>
          <w:sz w:val="20"/>
          <w:szCs w:val="20"/>
          <w:lang w:val="sr-Cyrl-BA" w:eastAsia="en-US"/>
        </w:rPr>
      </w:pPr>
    </w:p>
    <w:p w14:paraId="480BC0DB"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05F266C2"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3F5CC1BF"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648188BD"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58679805"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193FDE19"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4238163C"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7CB9DBA0"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012B958B"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0014B843"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35ED8FC0"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75B07A92" w14:textId="77777777" w:rsidR="004D360B" w:rsidRDefault="004D360B" w:rsidP="005B57E0">
      <w:pPr>
        <w:autoSpaceDE w:val="0"/>
        <w:autoSpaceDN w:val="0"/>
        <w:adjustRightInd w:val="0"/>
        <w:rPr>
          <w:rFonts w:asciiTheme="minorHAnsi" w:eastAsiaTheme="minorHAnsi" w:hAnsiTheme="minorHAnsi"/>
          <w:color w:val="auto"/>
          <w:sz w:val="20"/>
          <w:szCs w:val="20"/>
          <w:lang w:val="sr-Latn-BA" w:eastAsia="en-US"/>
        </w:rPr>
      </w:pPr>
    </w:p>
    <w:p w14:paraId="532C139F" w14:textId="77777777" w:rsidR="0042413C" w:rsidRDefault="0042413C" w:rsidP="005B57E0">
      <w:pPr>
        <w:autoSpaceDE w:val="0"/>
        <w:autoSpaceDN w:val="0"/>
        <w:adjustRightInd w:val="0"/>
        <w:rPr>
          <w:rFonts w:asciiTheme="minorHAnsi" w:eastAsiaTheme="minorHAnsi" w:hAnsiTheme="minorHAnsi"/>
          <w:color w:val="auto"/>
          <w:sz w:val="20"/>
          <w:szCs w:val="20"/>
          <w:lang w:val="sr-Latn-BA" w:eastAsia="en-US"/>
        </w:rPr>
      </w:pPr>
    </w:p>
    <w:p w14:paraId="6CC11562" w14:textId="77777777" w:rsidR="0042413C" w:rsidRPr="0042413C" w:rsidRDefault="0042413C" w:rsidP="005B57E0">
      <w:pPr>
        <w:autoSpaceDE w:val="0"/>
        <w:autoSpaceDN w:val="0"/>
        <w:adjustRightInd w:val="0"/>
        <w:rPr>
          <w:rFonts w:asciiTheme="minorHAnsi" w:eastAsiaTheme="minorHAnsi" w:hAnsiTheme="minorHAnsi"/>
          <w:color w:val="auto"/>
          <w:sz w:val="20"/>
          <w:szCs w:val="20"/>
          <w:lang w:val="sr-Latn-BA" w:eastAsia="en-US"/>
        </w:rPr>
      </w:pPr>
    </w:p>
    <w:p w14:paraId="0E5B211D"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59120291" w14:textId="77777777" w:rsidR="004D360B" w:rsidRDefault="004D360B" w:rsidP="005B57E0">
      <w:pPr>
        <w:autoSpaceDE w:val="0"/>
        <w:autoSpaceDN w:val="0"/>
        <w:adjustRightInd w:val="0"/>
        <w:rPr>
          <w:rFonts w:asciiTheme="minorHAnsi" w:eastAsiaTheme="minorHAnsi" w:hAnsiTheme="minorHAnsi"/>
          <w:color w:val="auto"/>
          <w:sz w:val="20"/>
          <w:szCs w:val="20"/>
          <w:lang w:val="sr-Cyrl-BA" w:eastAsia="en-US"/>
        </w:rPr>
      </w:pPr>
    </w:p>
    <w:p w14:paraId="22F954E3" w14:textId="77777777" w:rsidR="004D360B" w:rsidRPr="005767EF" w:rsidRDefault="004D360B" w:rsidP="005B57E0">
      <w:pPr>
        <w:autoSpaceDE w:val="0"/>
        <w:autoSpaceDN w:val="0"/>
        <w:adjustRightInd w:val="0"/>
        <w:rPr>
          <w:rFonts w:asciiTheme="minorHAnsi" w:eastAsiaTheme="minorHAnsi" w:hAnsiTheme="minorHAnsi"/>
          <w:color w:val="auto"/>
          <w:sz w:val="20"/>
          <w:szCs w:val="20"/>
          <w:lang w:val="sr-Cyrl-BA" w:eastAsia="en-US"/>
        </w:rPr>
      </w:pPr>
    </w:p>
    <w:tbl>
      <w:tblPr>
        <w:tblW w:w="8647" w:type="dxa"/>
        <w:tblInd w:w="108" w:type="dxa"/>
        <w:tblLook w:val="04A0" w:firstRow="1" w:lastRow="0" w:firstColumn="1" w:lastColumn="0" w:noHBand="0" w:noVBand="1"/>
      </w:tblPr>
      <w:tblGrid>
        <w:gridCol w:w="8647"/>
      </w:tblGrid>
      <w:tr w:rsidR="001538EF" w:rsidRPr="005767EF" w14:paraId="2067CF39" w14:textId="77777777" w:rsidTr="002663DB">
        <w:trPr>
          <w:trHeight w:val="465"/>
        </w:trPr>
        <w:tc>
          <w:tcPr>
            <w:tcW w:w="8647" w:type="dxa"/>
            <w:tcBorders>
              <w:top w:val="nil"/>
              <w:left w:val="nil"/>
              <w:bottom w:val="nil"/>
              <w:right w:val="nil"/>
            </w:tcBorders>
            <w:shd w:val="clear" w:color="000000" w:fill="FFFFFF"/>
            <w:vAlign w:val="center"/>
            <w:hideMark/>
          </w:tcPr>
          <w:p w14:paraId="67F9C796" w14:textId="77777777" w:rsidR="0042413C" w:rsidRDefault="0042413C" w:rsidP="0042413C">
            <w:pPr>
              <w:jc w:val="center"/>
              <w:rPr>
                <w:rFonts w:asciiTheme="minorHAnsi" w:hAnsiTheme="minorHAnsi"/>
                <w:b/>
                <w:bCs/>
                <w:sz w:val="20"/>
                <w:szCs w:val="20"/>
                <w:lang w:eastAsia="sr-Latn-RS"/>
              </w:rPr>
            </w:pPr>
          </w:p>
          <w:p w14:paraId="2FE021D6" w14:textId="6886733E" w:rsidR="0042413C" w:rsidRDefault="001538EF" w:rsidP="0042413C">
            <w:pPr>
              <w:jc w:val="center"/>
              <w:rPr>
                <w:rFonts w:asciiTheme="minorHAnsi" w:hAnsiTheme="minorHAnsi"/>
                <w:b/>
                <w:bCs/>
                <w:sz w:val="20"/>
                <w:szCs w:val="20"/>
                <w:lang w:eastAsia="sr-Latn-RS"/>
              </w:rPr>
            </w:pPr>
            <w:r w:rsidRPr="005767EF">
              <w:rPr>
                <w:rFonts w:asciiTheme="minorHAnsi" w:hAnsiTheme="minorHAnsi"/>
                <w:b/>
                <w:bCs/>
                <w:sz w:val="20"/>
                <w:szCs w:val="20"/>
                <w:lang w:eastAsia="sr-Latn-RS"/>
              </w:rPr>
              <w:t>Kumulativni pregled izdanih garanc</w:t>
            </w:r>
            <w:r w:rsidR="0042413C">
              <w:rPr>
                <w:rFonts w:asciiTheme="minorHAnsi" w:hAnsiTheme="minorHAnsi"/>
                <w:b/>
                <w:bCs/>
                <w:sz w:val="20"/>
                <w:szCs w:val="20"/>
                <w:lang w:eastAsia="sr-Latn-RS"/>
              </w:rPr>
              <w:t>a u okviru kreditnog portfelja po godinama</w:t>
            </w:r>
          </w:p>
          <w:p w14:paraId="523A44A2" w14:textId="03818BB6" w:rsidR="001538EF" w:rsidRPr="002663DB" w:rsidRDefault="001538EF" w:rsidP="0042413C">
            <w:pPr>
              <w:rPr>
                <w:rFonts w:asciiTheme="minorHAnsi" w:hAnsiTheme="minorHAnsi"/>
                <w:b/>
                <w:bCs/>
                <w:sz w:val="20"/>
                <w:szCs w:val="20"/>
                <w:lang w:val="sr-Cyrl-RS" w:eastAsia="sr-Latn-RS"/>
              </w:rPr>
            </w:pPr>
          </w:p>
        </w:tc>
      </w:tr>
    </w:tbl>
    <w:p w14:paraId="4985856A" w14:textId="77777777" w:rsidR="001538EF" w:rsidRPr="0042413C" w:rsidRDefault="001538EF" w:rsidP="001538EF">
      <w:pPr>
        <w:autoSpaceDE w:val="0"/>
        <w:autoSpaceDN w:val="0"/>
        <w:adjustRightInd w:val="0"/>
        <w:rPr>
          <w:rFonts w:asciiTheme="minorHAnsi" w:eastAsiaTheme="minorHAnsi" w:hAnsiTheme="minorHAnsi"/>
          <w:color w:val="auto"/>
          <w:sz w:val="20"/>
          <w:szCs w:val="20"/>
          <w:lang w:val="sr-Latn-BA" w:eastAsia="en-US"/>
        </w:rPr>
      </w:pPr>
    </w:p>
    <w:p w14:paraId="225C06D5" w14:textId="77777777" w:rsidR="001538EF" w:rsidRPr="00C12ECB" w:rsidRDefault="001538EF" w:rsidP="001538EF">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Pr="005767EF">
        <w:rPr>
          <w:rFonts w:asciiTheme="minorHAnsi" w:eastAsiaTheme="minorHAnsi" w:hAnsiTheme="minorHAnsi"/>
          <w:color w:val="auto"/>
          <w:sz w:val="20"/>
          <w:szCs w:val="20"/>
          <w:lang w:eastAsia="en-US"/>
        </w:rPr>
        <w:tab/>
      </w:r>
      <w:r w:rsidR="00A944C8">
        <w:rPr>
          <w:rFonts w:asciiTheme="minorHAnsi" w:eastAsiaTheme="minorHAnsi" w:hAnsiTheme="minorHAnsi"/>
          <w:b/>
          <w:color w:val="auto"/>
          <w:sz w:val="20"/>
          <w:szCs w:val="20"/>
          <w:lang w:eastAsia="en-US"/>
        </w:rPr>
        <w:t>Tabela 12</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2162"/>
        <w:gridCol w:w="1883"/>
        <w:gridCol w:w="1596"/>
        <w:gridCol w:w="1701"/>
      </w:tblGrid>
      <w:tr w:rsidR="00C12ECB" w:rsidRPr="005767EF" w14:paraId="705AB27D" w14:textId="77777777" w:rsidTr="00C12ECB">
        <w:trPr>
          <w:trHeight w:val="552"/>
        </w:trPr>
        <w:tc>
          <w:tcPr>
            <w:tcW w:w="1442" w:type="dxa"/>
            <w:shd w:val="clear" w:color="auto" w:fill="8DB3E2" w:themeFill="text2" w:themeFillTint="66"/>
            <w:vAlign w:val="center"/>
            <w:hideMark/>
          </w:tcPr>
          <w:p w14:paraId="3F7ECC41" w14:textId="7F5EE31F" w:rsidR="00C12ECB" w:rsidRPr="00C12ECB" w:rsidRDefault="00C12ECB" w:rsidP="009E4517">
            <w:pPr>
              <w:jc w:val="center"/>
              <w:rPr>
                <w:rFonts w:asciiTheme="minorHAnsi" w:hAnsiTheme="minorHAnsi"/>
                <w:b/>
                <w:sz w:val="18"/>
                <w:szCs w:val="18"/>
                <w:lang w:val="sr-Cyrl-BA" w:eastAsia="sr-Latn-RS"/>
              </w:rPr>
            </w:pPr>
            <w:r w:rsidRPr="00C12ECB">
              <w:rPr>
                <w:rFonts w:asciiTheme="minorHAnsi" w:hAnsiTheme="minorHAnsi"/>
                <w:b/>
                <w:sz w:val="18"/>
                <w:szCs w:val="18"/>
                <w:lang w:eastAsia="sr-Latn-RS"/>
              </w:rPr>
              <w:t>Godin</w:t>
            </w:r>
            <w:r w:rsidR="0042413C">
              <w:rPr>
                <w:rFonts w:asciiTheme="minorHAnsi" w:hAnsiTheme="minorHAnsi"/>
                <w:b/>
                <w:sz w:val="18"/>
                <w:szCs w:val="18"/>
                <w:lang w:eastAsia="sr-Latn-RS"/>
              </w:rPr>
              <w:t>a</w:t>
            </w:r>
          </w:p>
        </w:tc>
        <w:tc>
          <w:tcPr>
            <w:tcW w:w="2162" w:type="dxa"/>
            <w:shd w:val="clear" w:color="auto" w:fill="8DB3E2" w:themeFill="text2" w:themeFillTint="66"/>
            <w:vAlign w:val="center"/>
            <w:hideMark/>
          </w:tcPr>
          <w:p w14:paraId="7E6EC043" w14:textId="3FF0C1B1" w:rsidR="00C12ECB" w:rsidRPr="00C12ECB" w:rsidRDefault="00C12ECB" w:rsidP="001538EF">
            <w:pPr>
              <w:jc w:val="center"/>
              <w:rPr>
                <w:rFonts w:asciiTheme="minorHAnsi" w:hAnsiTheme="minorHAnsi"/>
                <w:b/>
                <w:sz w:val="18"/>
                <w:szCs w:val="18"/>
                <w:lang w:val="sr-Latn-RS" w:eastAsia="sr-Latn-RS"/>
              </w:rPr>
            </w:pPr>
            <w:r w:rsidRPr="00C12ECB">
              <w:rPr>
                <w:rFonts w:asciiTheme="minorHAnsi" w:hAnsiTheme="minorHAnsi"/>
                <w:b/>
                <w:sz w:val="18"/>
                <w:szCs w:val="18"/>
                <w:lang w:eastAsia="sr-Latn-RS"/>
              </w:rPr>
              <w:t xml:space="preserve">Broj </w:t>
            </w:r>
            <w:r w:rsidR="0042413C">
              <w:rPr>
                <w:rFonts w:asciiTheme="minorHAnsi" w:hAnsiTheme="minorHAnsi"/>
                <w:b/>
                <w:sz w:val="18"/>
                <w:szCs w:val="18"/>
                <w:lang w:eastAsia="sr-Latn-RS"/>
              </w:rPr>
              <w:t>kredita</w:t>
            </w:r>
          </w:p>
        </w:tc>
        <w:tc>
          <w:tcPr>
            <w:tcW w:w="1883" w:type="dxa"/>
            <w:shd w:val="clear" w:color="auto" w:fill="8DB3E2" w:themeFill="text2" w:themeFillTint="66"/>
            <w:vAlign w:val="center"/>
            <w:hideMark/>
          </w:tcPr>
          <w:p w14:paraId="79D2C4B2" w14:textId="77777777" w:rsidR="00C12ECB" w:rsidRPr="00C12ECB" w:rsidRDefault="00C12ECB" w:rsidP="001538EF">
            <w:pPr>
              <w:jc w:val="center"/>
              <w:rPr>
                <w:rFonts w:asciiTheme="minorHAnsi" w:hAnsiTheme="minorHAnsi"/>
                <w:b/>
                <w:sz w:val="18"/>
                <w:szCs w:val="18"/>
                <w:lang w:val="sr-Latn-RS" w:eastAsia="sr-Latn-RS"/>
              </w:rPr>
            </w:pPr>
            <w:r w:rsidRPr="00C12ECB">
              <w:rPr>
                <w:rFonts w:asciiTheme="minorHAnsi" w:hAnsiTheme="minorHAnsi"/>
                <w:b/>
                <w:sz w:val="18"/>
                <w:szCs w:val="18"/>
                <w:lang w:eastAsia="sr-Latn-RS"/>
              </w:rPr>
              <w:t>Iznos kredita</w:t>
            </w:r>
          </w:p>
        </w:tc>
        <w:tc>
          <w:tcPr>
            <w:tcW w:w="1596" w:type="dxa"/>
            <w:shd w:val="clear" w:color="auto" w:fill="8DB3E2" w:themeFill="text2" w:themeFillTint="66"/>
            <w:vAlign w:val="center"/>
            <w:hideMark/>
          </w:tcPr>
          <w:p w14:paraId="25D0D255" w14:textId="77777777" w:rsidR="00C12ECB" w:rsidRPr="00C12ECB" w:rsidRDefault="00C12ECB" w:rsidP="001538EF">
            <w:pPr>
              <w:jc w:val="center"/>
              <w:rPr>
                <w:rFonts w:asciiTheme="minorHAnsi" w:hAnsiTheme="minorHAnsi"/>
                <w:b/>
                <w:sz w:val="18"/>
                <w:szCs w:val="18"/>
                <w:lang w:val="sr-Latn-RS" w:eastAsia="sr-Latn-RS"/>
              </w:rPr>
            </w:pPr>
            <w:r w:rsidRPr="00C12ECB">
              <w:rPr>
                <w:rFonts w:asciiTheme="minorHAnsi" w:hAnsiTheme="minorHAnsi"/>
                <w:b/>
                <w:sz w:val="18"/>
                <w:szCs w:val="18"/>
                <w:lang w:eastAsia="sr-Latn-RS"/>
              </w:rPr>
              <w:t>Iznos garancije</w:t>
            </w:r>
          </w:p>
        </w:tc>
        <w:tc>
          <w:tcPr>
            <w:tcW w:w="1701" w:type="dxa"/>
            <w:shd w:val="clear" w:color="auto" w:fill="8DB3E2" w:themeFill="text2" w:themeFillTint="66"/>
          </w:tcPr>
          <w:p w14:paraId="5721CF7C" w14:textId="77777777" w:rsidR="00C12ECB" w:rsidRDefault="00C12ECB" w:rsidP="001538EF">
            <w:pPr>
              <w:jc w:val="center"/>
              <w:rPr>
                <w:rFonts w:asciiTheme="minorHAnsi" w:hAnsiTheme="minorHAnsi"/>
                <w:b/>
                <w:sz w:val="18"/>
                <w:szCs w:val="18"/>
                <w:lang w:val="sr-Cyrl-RS" w:eastAsia="sr-Latn-RS"/>
              </w:rPr>
            </w:pPr>
          </w:p>
          <w:p w14:paraId="4721A243" w14:textId="33B43A6C" w:rsidR="00C12ECB" w:rsidRPr="00C12ECB" w:rsidRDefault="0042413C" w:rsidP="001538EF">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Učešće</w:t>
            </w:r>
          </w:p>
        </w:tc>
      </w:tr>
      <w:tr w:rsidR="00C12ECB" w:rsidRPr="005767EF" w14:paraId="61B79161" w14:textId="77777777" w:rsidTr="00C12ECB">
        <w:trPr>
          <w:trHeight w:val="219"/>
        </w:trPr>
        <w:tc>
          <w:tcPr>
            <w:tcW w:w="1442" w:type="dxa"/>
            <w:shd w:val="clear" w:color="auto" w:fill="auto"/>
            <w:vAlign w:val="center"/>
            <w:hideMark/>
          </w:tcPr>
          <w:p w14:paraId="627E508E" w14:textId="77777777" w:rsidR="00C12ECB" w:rsidRPr="00C12ECB" w:rsidRDefault="00836834" w:rsidP="00C12ECB">
            <w:pPr>
              <w:jc w:val="center"/>
              <w:rPr>
                <w:rFonts w:asciiTheme="minorHAnsi" w:hAnsiTheme="minorHAnsi"/>
                <w:caps/>
                <w:sz w:val="18"/>
                <w:szCs w:val="18"/>
                <w:lang w:val="sr-Cyrl-RS" w:eastAsia="sr-Latn-RS"/>
              </w:rPr>
            </w:pPr>
            <w:r>
              <w:rPr>
                <w:rFonts w:asciiTheme="minorHAnsi" w:hAnsiTheme="minorHAnsi"/>
                <w:caps/>
                <w:sz w:val="18"/>
                <w:szCs w:val="18"/>
                <w:lang w:eastAsia="sr-Latn-RS"/>
              </w:rPr>
              <w:t>2021.</w:t>
            </w:r>
          </w:p>
        </w:tc>
        <w:tc>
          <w:tcPr>
            <w:tcW w:w="2162" w:type="dxa"/>
            <w:shd w:val="clear" w:color="auto" w:fill="auto"/>
            <w:vAlign w:val="center"/>
            <w:hideMark/>
          </w:tcPr>
          <w:p w14:paraId="22E54E33" w14:textId="77777777" w:rsidR="00C12ECB" w:rsidRPr="00C12ECB" w:rsidRDefault="00C12ECB" w:rsidP="001538EF">
            <w:pPr>
              <w:jc w:val="center"/>
              <w:rPr>
                <w:rFonts w:asciiTheme="minorHAnsi" w:hAnsiTheme="minorHAnsi"/>
                <w:sz w:val="18"/>
                <w:szCs w:val="18"/>
                <w:lang w:val="sr-Cyrl-RS" w:eastAsia="sr-Latn-RS"/>
              </w:rPr>
            </w:pPr>
            <w:r w:rsidRPr="00C12ECB">
              <w:rPr>
                <w:rFonts w:asciiTheme="minorHAnsi" w:hAnsiTheme="minorHAnsi"/>
                <w:sz w:val="18"/>
                <w:szCs w:val="18"/>
                <w:lang w:eastAsia="sr-Latn-RS"/>
              </w:rPr>
              <w:t>42</w:t>
            </w:r>
          </w:p>
        </w:tc>
        <w:tc>
          <w:tcPr>
            <w:tcW w:w="1883" w:type="dxa"/>
            <w:shd w:val="clear" w:color="auto" w:fill="auto"/>
            <w:vAlign w:val="center"/>
            <w:hideMark/>
          </w:tcPr>
          <w:p w14:paraId="51F5C29C"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eastAsia="sr-Latn-RS"/>
              </w:rPr>
              <w:t>14.283.166,88</w:t>
            </w:r>
          </w:p>
        </w:tc>
        <w:tc>
          <w:tcPr>
            <w:tcW w:w="1596" w:type="dxa"/>
            <w:shd w:val="clear" w:color="auto" w:fill="auto"/>
            <w:vAlign w:val="center"/>
            <w:hideMark/>
          </w:tcPr>
          <w:p w14:paraId="5C37AA78"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eastAsia="sr-Latn-RS"/>
              </w:rPr>
              <w:t>7.141.583,44</w:t>
            </w:r>
          </w:p>
        </w:tc>
        <w:tc>
          <w:tcPr>
            <w:tcW w:w="1701" w:type="dxa"/>
          </w:tcPr>
          <w:p w14:paraId="5E93A897" w14:textId="77777777" w:rsidR="00C12ECB" w:rsidRPr="00C12ECB" w:rsidRDefault="00C12ECB" w:rsidP="001538EF">
            <w:pPr>
              <w:jc w:val="right"/>
              <w:rPr>
                <w:rFonts w:asciiTheme="minorHAnsi" w:hAnsiTheme="minorHAnsi"/>
                <w:sz w:val="18"/>
                <w:szCs w:val="18"/>
                <w:lang w:val="sr-Cyrl-RS" w:eastAsia="sr-Latn-RS"/>
              </w:rPr>
            </w:pPr>
            <w:r>
              <w:rPr>
                <w:rFonts w:asciiTheme="minorHAnsi" w:hAnsiTheme="minorHAnsi"/>
                <w:sz w:val="18"/>
                <w:szCs w:val="18"/>
                <w:lang w:eastAsia="sr-Latn-RS"/>
              </w:rPr>
              <w:t>25,32%</w:t>
            </w:r>
          </w:p>
        </w:tc>
      </w:tr>
      <w:tr w:rsidR="00C12ECB" w:rsidRPr="005767EF" w14:paraId="4B4C89E7" w14:textId="77777777" w:rsidTr="00C12ECB">
        <w:trPr>
          <w:trHeight w:val="219"/>
        </w:trPr>
        <w:tc>
          <w:tcPr>
            <w:tcW w:w="1442" w:type="dxa"/>
            <w:shd w:val="clear" w:color="auto" w:fill="auto"/>
            <w:vAlign w:val="center"/>
            <w:hideMark/>
          </w:tcPr>
          <w:p w14:paraId="5A511EFD" w14:textId="77777777" w:rsidR="00C12ECB" w:rsidRPr="00C12ECB" w:rsidRDefault="00C12ECB" w:rsidP="00C12ECB">
            <w:pPr>
              <w:jc w:val="center"/>
              <w:rPr>
                <w:rFonts w:asciiTheme="minorHAnsi" w:hAnsiTheme="minorHAnsi"/>
                <w:caps/>
                <w:sz w:val="18"/>
                <w:szCs w:val="18"/>
                <w:lang w:val="sr-Cyrl-RS" w:eastAsia="sr-Latn-RS"/>
              </w:rPr>
            </w:pPr>
            <w:r w:rsidRPr="00C12ECB">
              <w:rPr>
                <w:rFonts w:asciiTheme="minorHAnsi" w:hAnsiTheme="minorHAnsi"/>
                <w:caps/>
                <w:sz w:val="18"/>
                <w:szCs w:val="18"/>
                <w:lang w:eastAsia="sr-Latn-RS"/>
              </w:rPr>
              <w:t>2022.</w:t>
            </w:r>
          </w:p>
        </w:tc>
        <w:tc>
          <w:tcPr>
            <w:tcW w:w="2162" w:type="dxa"/>
            <w:shd w:val="clear" w:color="auto" w:fill="auto"/>
            <w:vAlign w:val="center"/>
            <w:hideMark/>
          </w:tcPr>
          <w:p w14:paraId="751EA733" w14:textId="77777777" w:rsidR="00C12ECB" w:rsidRPr="00C12ECB" w:rsidRDefault="00C12ECB" w:rsidP="001538EF">
            <w:pPr>
              <w:jc w:val="center"/>
              <w:rPr>
                <w:rFonts w:asciiTheme="minorHAnsi" w:hAnsiTheme="minorHAnsi"/>
                <w:sz w:val="18"/>
                <w:szCs w:val="18"/>
                <w:lang w:val="sr-Cyrl-RS" w:eastAsia="sr-Latn-RS"/>
              </w:rPr>
            </w:pPr>
            <w:r w:rsidRPr="00C12ECB">
              <w:rPr>
                <w:rFonts w:asciiTheme="minorHAnsi" w:hAnsiTheme="minorHAnsi"/>
                <w:sz w:val="18"/>
                <w:szCs w:val="18"/>
                <w:lang w:eastAsia="sr-Latn-RS"/>
              </w:rPr>
              <w:t>73</w:t>
            </w:r>
          </w:p>
        </w:tc>
        <w:tc>
          <w:tcPr>
            <w:tcW w:w="1883" w:type="dxa"/>
            <w:shd w:val="clear" w:color="auto" w:fill="auto"/>
            <w:vAlign w:val="center"/>
            <w:hideMark/>
          </w:tcPr>
          <w:p w14:paraId="340140D2"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eastAsia="sr-Latn-RS"/>
              </w:rPr>
              <w:t>12.365.400,00</w:t>
            </w:r>
          </w:p>
        </w:tc>
        <w:tc>
          <w:tcPr>
            <w:tcW w:w="1596" w:type="dxa"/>
            <w:shd w:val="clear" w:color="auto" w:fill="auto"/>
            <w:vAlign w:val="center"/>
            <w:hideMark/>
          </w:tcPr>
          <w:p w14:paraId="2F208458"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eastAsia="sr-Latn-RS"/>
              </w:rPr>
              <w:t>6.182.685,00</w:t>
            </w:r>
          </w:p>
        </w:tc>
        <w:tc>
          <w:tcPr>
            <w:tcW w:w="1701" w:type="dxa"/>
          </w:tcPr>
          <w:p w14:paraId="0D81E576" w14:textId="77777777" w:rsidR="00C12ECB" w:rsidRPr="00C12ECB" w:rsidRDefault="00C12ECB" w:rsidP="001538EF">
            <w:pPr>
              <w:jc w:val="right"/>
              <w:rPr>
                <w:rFonts w:asciiTheme="minorHAnsi" w:hAnsiTheme="minorHAnsi"/>
                <w:sz w:val="18"/>
                <w:szCs w:val="18"/>
                <w:lang w:val="sr-Cyrl-RS" w:eastAsia="sr-Latn-RS"/>
              </w:rPr>
            </w:pPr>
            <w:r>
              <w:rPr>
                <w:rFonts w:asciiTheme="minorHAnsi" w:hAnsiTheme="minorHAnsi"/>
                <w:sz w:val="18"/>
                <w:szCs w:val="18"/>
                <w:lang w:eastAsia="sr-Latn-RS"/>
              </w:rPr>
              <w:t>21,92%</w:t>
            </w:r>
          </w:p>
        </w:tc>
      </w:tr>
      <w:tr w:rsidR="00C12ECB" w:rsidRPr="005767EF" w14:paraId="56865860" w14:textId="77777777" w:rsidTr="00C12ECB">
        <w:trPr>
          <w:trHeight w:val="219"/>
        </w:trPr>
        <w:tc>
          <w:tcPr>
            <w:tcW w:w="1442" w:type="dxa"/>
            <w:tcBorders>
              <w:bottom w:val="single" w:sz="4" w:space="0" w:color="auto"/>
            </w:tcBorders>
            <w:shd w:val="clear" w:color="auto" w:fill="auto"/>
            <w:vAlign w:val="center"/>
            <w:hideMark/>
          </w:tcPr>
          <w:p w14:paraId="525338EF" w14:textId="77777777" w:rsidR="00C12ECB" w:rsidRPr="00C12ECB" w:rsidRDefault="00C12ECB" w:rsidP="00C12ECB">
            <w:pPr>
              <w:jc w:val="center"/>
              <w:rPr>
                <w:rFonts w:asciiTheme="minorHAnsi" w:hAnsiTheme="minorHAnsi"/>
                <w:caps/>
                <w:sz w:val="18"/>
                <w:szCs w:val="18"/>
                <w:lang w:val="sr-Cyrl-RS" w:eastAsia="sr-Latn-RS"/>
              </w:rPr>
            </w:pPr>
            <w:r w:rsidRPr="00C12ECB">
              <w:rPr>
                <w:rFonts w:asciiTheme="minorHAnsi" w:hAnsiTheme="minorHAnsi"/>
                <w:caps/>
                <w:sz w:val="18"/>
                <w:szCs w:val="18"/>
                <w:lang w:eastAsia="sr-Latn-RS"/>
              </w:rPr>
              <w:t>2023.</w:t>
            </w:r>
          </w:p>
        </w:tc>
        <w:tc>
          <w:tcPr>
            <w:tcW w:w="2162" w:type="dxa"/>
            <w:tcBorders>
              <w:bottom w:val="single" w:sz="4" w:space="0" w:color="auto"/>
            </w:tcBorders>
            <w:shd w:val="clear" w:color="auto" w:fill="auto"/>
            <w:vAlign w:val="center"/>
            <w:hideMark/>
          </w:tcPr>
          <w:p w14:paraId="5DBC16BE" w14:textId="77777777" w:rsidR="00C12ECB" w:rsidRPr="00C12ECB" w:rsidRDefault="00C12ECB" w:rsidP="001538EF">
            <w:pPr>
              <w:jc w:val="center"/>
              <w:rPr>
                <w:rFonts w:asciiTheme="minorHAnsi" w:hAnsiTheme="minorHAnsi"/>
                <w:sz w:val="18"/>
                <w:szCs w:val="18"/>
                <w:lang w:val="sr-Cyrl-RS" w:eastAsia="sr-Latn-RS"/>
              </w:rPr>
            </w:pPr>
            <w:r w:rsidRPr="00C12ECB">
              <w:rPr>
                <w:rFonts w:asciiTheme="minorHAnsi" w:hAnsiTheme="minorHAnsi"/>
                <w:sz w:val="18"/>
                <w:szCs w:val="18"/>
                <w:lang w:eastAsia="sr-Latn-RS"/>
              </w:rPr>
              <w:t>122</w:t>
            </w:r>
          </w:p>
        </w:tc>
        <w:tc>
          <w:tcPr>
            <w:tcW w:w="1883" w:type="dxa"/>
            <w:tcBorders>
              <w:bottom w:val="single" w:sz="4" w:space="0" w:color="auto"/>
            </w:tcBorders>
            <w:shd w:val="clear" w:color="auto" w:fill="auto"/>
            <w:vAlign w:val="center"/>
            <w:hideMark/>
          </w:tcPr>
          <w:p w14:paraId="13C162C6"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eastAsia="sr-Latn-RS"/>
              </w:rPr>
              <w:t>29.762.000,03</w:t>
            </w:r>
          </w:p>
        </w:tc>
        <w:tc>
          <w:tcPr>
            <w:tcW w:w="1596" w:type="dxa"/>
            <w:tcBorders>
              <w:bottom w:val="single" w:sz="4" w:space="0" w:color="auto"/>
            </w:tcBorders>
            <w:shd w:val="clear" w:color="auto" w:fill="auto"/>
            <w:vAlign w:val="center"/>
            <w:hideMark/>
          </w:tcPr>
          <w:p w14:paraId="7CF7010B" w14:textId="77777777" w:rsidR="00C12ECB" w:rsidRPr="00C12ECB" w:rsidRDefault="00C12ECB" w:rsidP="001538EF">
            <w:pPr>
              <w:jc w:val="right"/>
              <w:rPr>
                <w:rFonts w:asciiTheme="minorHAnsi" w:hAnsiTheme="minorHAnsi"/>
                <w:sz w:val="18"/>
                <w:szCs w:val="18"/>
                <w:lang w:val="sr-Cyrl-RS" w:eastAsia="sr-Latn-RS"/>
              </w:rPr>
            </w:pPr>
            <w:r w:rsidRPr="00C12ECB">
              <w:rPr>
                <w:rFonts w:asciiTheme="minorHAnsi" w:hAnsiTheme="minorHAnsi"/>
                <w:sz w:val="18"/>
                <w:szCs w:val="18"/>
                <w:lang w:eastAsia="sr-Latn-RS"/>
              </w:rPr>
              <w:t>14.881.000,03</w:t>
            </w:r>
          </w:p>
        </w:tc>
        <w:tc>
          <w:tcPr>
            <w:tcW w:w="1701" w:type="dxa"/>
            <w:tcBorders>
              <w:bottom w:val="single" w:sz="4" w:space="0" w:color="auto"/>
            </w:tcBorders>
          </w:tcPr>
          <w:p w14:paraId="2AF00F43" w14:textId="77777777" w:rsidR="00C12ECB" w:rsidRPr="00C12ECB" w:rsidRDefault="00C12ECB" w:rsidP="001538EF">
            <w:pPr>
              <w:jc w:val="right"/>
              <w:rPr>
                <w:rFonts w:asciiTheme="minorHAnsi" w:hAnsiTheme="minorHAnsi"/>
                <w:sz w:val="18"/>
                <w:szCs w:val="18"/>
                <w:lang w:val="sr-Cyrl-RS" w:eastAsia="sr-Latn-RS"/>
              </w:rPr>
            </w:pPr>
            <w:r>
              <w:rPr>
                <w:rFonts w:asciiTheme="minorHAnsi" w:hAnsiTheme="minorHAnsi"/>
                <w:sz w:val="18"/>
                <w:szCs w:val="18"/>
                <w:lang w:eastAsia="sr-Latn-RS"/>
              </w:rPr>
              <w:t>52,76%</w:t>
            </w:r>
          </w:p>
        </w:tc>
      </w:tr>
      <w:tr w:rsidR="00C12ECB" w:rsidRPr="005767EF" w14:paraId="6D453E69" w14:textId="77777777" w:rsidTr="00C12ECB">
        <w:trPr>
          <w:trHeight w:val="219"/>
        </w:trPr>
        <w:tc>
          <w:tcPr>
            <w:tcW w:w="1442" w:type="dxa"/>
            <w:tcBorders>
              <w:bottom w:val="single" w:sz="4" w:space="0" w:color="auto"/>
            </w:tcBorders>
            <w:shd w:val="clear" w:color="auto" w:fill="8DB3E2" w:themeFill="text2" w:themeFillTint="66"/>
            <w:vAlign w:val="center"/>
          </w:tcPr>
          <w:p w14:paraId="7AF94F4F" w14:textId="77777777" w:rsidR="00C12ECB" w:rsidRPr="00C12ECB" w:rsidRDefault="00C12ECB" w:rsidP="00C12ECB">
            <w:pPr>
              <w:jc w:val="center"/>
              <w:rPr>
                <w:rFonts w:asciiTheme="minorHAnsi" w:hAnsiTheme="minorHAnsi"/>
                <w:b/>
                <w:caps/>
                <w:sz w:val="18"/>
                <w:szCs w:val="18"/>
                <w:lang w:val="sr-Cyrl-RS" w:eastAsia="sr-Latn-RS"/>
              </w:rPr>
            </w:pPr>
            <w:r w:rsidRPr="00C12ECB">
              <w:rPr>
                <w:rFonts w:asciiTheme="minorHAnsi" w:hAnsiTheme="minorHAnsi"/>
                <w:b/>
                <w:caps/>
                <w:sz w:val="18"/>
                <w:szCs w:val="18"/>
                <w:lang w:eastAsia="sr-Latn-RS"/>
              </w:rPr>
              <w:t>Укупно</w:t>
            </w:r>
          </w:p>
        </w:tc>
        <w:tc>
          <w:tcPr>
            <w:tcW w:w="2162" w:type="dxa"/>
            <w:tcBorders>
              <w:bottom w:val="single" w:sz="4" w:space="0" w:color="auto"/>
            </w:tcBorders>
            <w:shd w:val="clear" w:color="auto" w:fill="8DB3E2" w:themeFill="text2" w:themeFillTint="66"/>
            <w:vAlign w:val="center"/>
          </w:tcPr>
          <w:p w14:paraId="4964943E" w14:textId="77777777" w:rsidR="00C12ECB" w:rsidRPr="00C12ECB" w:rsidRDefault="00C12ECB" w:rsidP="001538EF">
            <w:pPr>
              <w:jc w:val="center"/>
              <w:rPr>
                <w:rFonts w:asciiTheme="minorHAnsi" w:hAnsiTheme="minorHAnsi"/>
                <w:b/>
                <w:sz w:val="18"/>
                <w:szCs w:val="18"/>
                <w:lang w:val="sr-Cyrl-RS" w:eastAsia="sr-Latn-RS"/>
              </w:rPr>
            </w:pPr>
            <w:r w:rsidRPr="00C12ECB">
              <w:rPr>
                <w:rFonts w:asciiTheme="minorHAnsi" w:hAnsiTheme="minorHAnsi"/>
                <w:b/>
                <w:sz w:val="18"/>
                <w:szCs w:val="18"/>
                <w:lang w:eastAsia="sr-Latn-RS"/>
              </w:rPr>
              <w:t>237</w:t>
            </w:r>
          </w:p>
        </w:tc>
        <w:tc>
          <w:tcPr>
            <w:tcW w:w="1883" w:type="dxa"/>
            <w:tcBorders>
              <w:bottom w:val="single" w:sz="4" w:space="0" w:color="auto"/>
            </w:tcBorders>
            <w:shd w:val="clear" w:color="auto" w:fill="8DB3E2" w:themeFill="text2" w:themeFillTint="66"/>
            <w:vAlign w:val="center"/>
          </w:tcPr>
          <w:p w14:paraId="3297E2D2" w14:textId="77777777" w:rsidR="00C12ECB" w:rsidRPr="00C12ECB" w:rsidRDefault="00C12ECB" w:rsidP="001538EF">
            <w:pPr>
              <w:jc w:val="right"/>
              <w:rPr>
                <w:rFonts w:asciiTheme="minorHAnsi" w:hAnsiTheme="minorHAnsi"/>
                <w:b/>
                <w:sz w:val="18"/>
                <w:szCs w:val="18"/>
                <w:lang w:val="sr-Cyrl-RS" w:eastAsia="sr-Latn-RS"/>
              </w:rPr>
            </w:pPr>
            <w:r w:rsidRPr="00C12ECB">
              <w:rPr>
                <w:rFonts w:asciiTheme="minorHAnsi" w:hAnsiTheme="minorHAnsi"/>
                <w:b/>
                <w:sz w:val="18"/>
                <w:szCs w:val="18"/>
                <w:lang w:eastAsia="sr-Latn-RS"/>
              </w:rPr>
              <w:t>56.410.566,91</w:t>
            </w:r>
          </w:p>
        </w:tc>
        <w:tc>
          <w:tcPr>
            <w:tcW w:w="1596" w:type="dxa"/>
            <w:tcBorders>
              <w:bottom w:val="single" w:sz="4" w:space="0" w:color="auto"/>
            </w:tcBorders>
            <w:shd w:val="clear" w:color="auto" w:fill="8DB3E2" w:themeFill="text2" w:themeFillTint="66"/>
            <w:vAlign w:val="center"/>
          </w:tcPr>
          <w:p w14:paraId="07E55308" w14:textId="77777777" w:rsidR="00C12ECB" w:rsidRPr="00C12ECB" w:rsidRDefault="00C12ECB" w:rsidP="001538EF">
            <w:pPr>
              <w:jc w:val="right"/>
              <w:rPr>
                <w:rFonts w:asciiTheme="minorHAnsi" w:hAnsiTheme="minorHAnsi"/>
                <w:b/>
                <w:sz w:val="18"/>
                <w:szCs w:val="18"/>
                <w:lang w:val="sr-Cyrl-RS" w:eastAsia="sr-Latn-RS"/>
              </w:rPr>
            </w:pPr>
            <w:r w:rsidRPr="00C12ECB">
              <w:rPr>
                <w:rFonts w:asciiTheme="minorHAnsi" w:hAnsiTheme="minorHAnsi"/>
                <w:b/>
                <w:sz w:val="18"/>
                <w:szCs w:val="18"/>
                <w:lang w:eastAsia="sr-Latn-RS"/>
              </w:rPr>
              <w:t>28.205.268,47</w:t>
            </w:r>
          </w:p>
        </w:tc>
        <w:tc>
          <w:tcPr>
            <w:tcW w:w="1701" w:type="dxa"/>
            <w:tcBorders>
              <w:bottom w:val="single" w:sz="4" w:space="0" w:color="auto"/>
            </w:tcBorders>
            <w:shd w:val="clear" w:color="auto" w:fill="8DB3E2" w:themeFill="text2" w:themeFillTint="66"/>
          </w:tcPr>
          <w:p w14:paraId="03AF0AFD" w14:textId="77777777" w:rsidR="00C12ECB" w:rsidRPr="00C12ECB" w:rsidRDefault="00C12ECB" w:rsidP="001538EF">
            <w:pPr>
              <w:jc w:val="right"/>
              <w:rPr>
                <w:rFonts w:asciiTheme="minorHAnsi" w:hAnsiTheme="minorHAnsi"/>
                <w:b/>
                <w:sz w:val="18"/>
                <w:szCs w:val="18"/>
                <w:lang w:val="sr-Cyrl-RS" w:eastAsia="sr-Latn-RS"/>
              </w:rPr>
            </w:pPr>
            <w:r w:rsidRPr="00C12ECB">
              <w:rPr>
                <w:rFonts w:asciiTheme="minorHAnsi" w:hAnsiTheme="minorHAnsi"/>
                <w:b/>
                <w:sz w:val="18"/>
                <w:szCs w:val="18"/>
                <w:lang w:eastAsia="sr-Latn-RS"/>
              </w:rPr>
              <w:t>100,00%</w:t>
            </w:r>
          </w:p>
        </w:tc>
      </w:tr>
    </w:tbl>
    <w:p w14:paraId="14782C52" w14:textId="77777777" w:rsidR="001538EF" w:rsidRPr="005767EF" w:rsidRDefault="001538EF" w:rsidP="00C12ECB">
      <w:pPr>
        <w:autoSpaceDE w:val="0"/>
        <w:autoSpaceDN w:val="0"/>
        <w:adjustRightInd w:val="0"/>
        <w:rPr>
          <w:rFonts w:asciiTheme="minorHAnsi" w:eastAsiaTheme="minorHAnsi" w:hAnsiTheme="minorHAnsi"/>
          <w:color w:val="FF0000"/>
          <w:sz w:val="20"/>
          <w:szCs w:val="20"/>
          <w:lang w:val="sr-Cyrl-BA" w:eastAsia="en-US"/>
        </w:rPr>
      </w:pPr>
    </w:p>
    <w:p w14:paraId="61490819" w14:textId="77777777" w:rsidR="001538EF" w:rsidRPr="005767EF" w:rsidRDefault="00836834" w:rsidP="001538EF">
      <w:pPr>
        <w:autoSpaceDE w:val="0"/>
        <w:autoSpaceDN w:val="0"/>
        <w:adjustRightInd w:val="0"/>
        <w:rPr>
          <w:rFonts w:asciiTheme="minorHAnsi" w:hAnsiTheme="minorHAnsi"/>
          <w:sz w:val="20"/>
          <w:szCs w:val="20"/>
          <w:lang w:val="sr-Cyrl-BA" w:eastAsia="sr-Latn-RS"/>
        </w:rPr>
      </w:pPr>
      <w:r>
        <w:rPr>
          <w:rFonts w:asciiTheme="minorHAnsi" w:eastAsiaTheme="minorHAnsi" w:hAnsiTheme="minorHAnsi"/>
          <w:color w:val="auto"/>
          <w:sz w:val="20"/>
          <w:szCs w:val="20"/>
          <w:lang w:eastAsia="en-US"/>
        </w:rPr>
        <w:t xml:space="preserve">Na osnovu potpisanih ugovora o garantovanju kreditnog portfelja finansijskih posrednika, za tri godine je izdano 237 garancija u iznosu od 28.205.268,47 KM, čime je podržano 56.410.566,91 KM kreditnih plasmana finansijskih posrednika. Tabela pokazuje značajan rast plasiranih sredstava tokom 2023. godine, što govori o tome da se finansijski posrednici sve više okreću ovom načinu odobravanja kredita, s obzirom na brojne prednosti u vidu skraćenja postupka odobravanja i zadržavanja kontrole u pogledu kreditne analize klijenta. Tokom 2023. godine je plasirano nešto više od polovine ukupno plasiranih sredstava iz portfelja (52,76%), dok je učešće tokom prethodnih godina znatno manje (21,92% u 2022. godini i 25,32% u 2021. godini).  </w:t>
      </w:r>
    </w:p>
    <w:p w14:paraId="49C89DC5" w14:textId="77777777" w:rsidR="001538EF" w:rsidRPr="005767EF" w:rsidRDefault="001538EF" w:rsidP="00BC6981">
      <w:pPr>
        <w:autoSpaceDE w:val="0"/>
        <w:autoSpaceDN w:val="0"/>
        <w:adjustRightInd w:val="0"/>
        <w:rPr>
          <w:rFonts w:asciiTheme="minorHAnsi" w:eastAsiaTheme="minorHAnsi" w:hAnsiTheme="minorHAnsi"/>
          <w:color w:val="FF0000"/>
          <w:sz w:val="20"/>
          <w:szCs w:val="20"/>
          <w:lang w:val="sr-Cyrl-BA" w:eastAsia="en-US"/>
        </w:rPr>
      </w:pPr>
    </w:p>
    <w:p w14:paraId="30595D9E" w14:textId="77777777" w:rsidR="001538EF" w:rsidRPr="005767EF" w:rsidRDefault="001538EF" w:rsidP="001538EF">
      <w:pPr>
        <w:autoSpaceDE w:val="0"/>
        <w:autoSpaceDN w:val="0"/>
        <w:adjustRightInd w:val="0"/>
        <w:jc w:val="center"/>
        <w:rPr>
          <w:rFonts w:asciiTheme="minorHAnsi" w:eastAsiaTheme="minorHAnsi" w:hAnsiTheme="minorHAnsi"/>
          <w:b/>
          <w:color w:val="auto"/>
          <w:sz w:val="20"/>
          <w:szCs w:val="20"/>
          <w:lang w:val="sr-Cyrl-BA" w:eastAsia="en-US"/>
        </w:rPr>
      </w:pPr>
      <w:r w:rsidRPr="005767EF">
        <w:rPr>
          <w:rFonts w:asciiTheme="minorHAnsi" w:eastAsiaTheme="minorHAnsi" w:hAnsiTheme="minorHAnsi"/>
          <w:b/>
          <w:color w:val="auto"/>
          <w:sz w:val="20"/>
          <w:szCs w:val="20"/>
          <w:lang w:eastAsia="en-US"/>
        </w:rPr>
        <w:t>Pregled realizacije ugovorenog kreditnog portfolija na dan 31.12.2023. godine</w:t>
      </w:r>
    </w:p>
    <w:p w14:paraId="6F694213" w14:textId="77777777" w:rsidR="001538EF" w:rsidRPr="005767EF" w:rsidRDefault="001538EF" w:rsidP="001538EF">
      <w:pPr>
        <w:autoSpaceDE w:val="0"/>
        <w:autoSpaceDN w:val="0"/>
        <w:adjustRightInd w:val="0"/>
        <w:jc w:val="center"/>
        <w:rPr>
          <w:rFonts w:asciiTheme="minorHAnsi" w:eastAsiaTheme="minorHAnsi" w:hAnsiTheme="minorHAnsi"/>
          <w:b/>
          <w:color w:val="auto"/>
          <w:sz w:val="20"/>
          <w:szCs w:val="20"/>
          <w:lang w:val="sr-Cyrl-BA" w:eastAsia="en-US"/>
        </w:rPr>
      </w:pPr>
    </w:p>
    <w:p w14:paraId="3418BE47" w14:textId="77777777" w:rsidR="001538EF" w:rsidRPr="005767EF" w:rsidRDefault="00BC6981" w:rsidP="00BC6981">
      <w:pPr>
        <w:autoSpaceDE w:val="0"/>
        <w:autoSpaceDN w:val="0"/>
        <w:adjustRightInd w:val="0"/>
        <w:rPr>
          <w:rFonts w:asciiTheme="minorHAnsi" w:eastAsiaTheme="minorHAnsi" w:hAnsiTheme="minorHAnsi"/>
          <w:b/>
          <w:color w:val="auto"/>
          <w:sz w:val="20"/>
          <w:szCs w:val="20"/>
          <w:lang w:val="sr-Cyrl-BA" w:eastAsia="en-US"/>
        </w:rPr>
      </w:pP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Pr>
          <w:rFonts w:asciiTheme="minorHAnsi" w:eastAsiaTheme="minorHAnsi" w:hAnsiTheme="minorHAnsi"/>
          <w:b/>
          <w:color w:val="auto"/>
          <w:sz w:val="20"/>
          <w:szCs w:val="20"/>
          <w:lang w:eastAsia="en-US"/>
        </w:rPr>
        <w:tab/>
      </w:r>
      <w:r w:rsidR="00A944C8">
        <w:rPr>
          <w:rFonts w:asciiTheme="minorHAnsi" w:eastAsiaTheme="minorHAnsi" w:hAnsiTheme="minorHAnsi"/>
          <w:b/>
          <w:color w:val="auto"/>
          <w:sz w:val="20"/>
          <w:szCs w:val="20"/>
          <w:lang w:eastAsia="en-US"/>
        </w:rPr>
        <w:t>Tabela 13</w:t>
      </w:r>
    </w:p>
    <w:tbl>
      <w:tblPr>
        <w:tblW w:w="878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1101"/>
        <w:gridCol w:w="1490"/>
        <w:gridCol w:w="1505"/>
        <w:gridCol w:w="1337"/>
      </w:tblGrid>
      <w:tr w:rsidR="00295AE9" w:rsidRPr="005767EF" w14:paraId="119DDB6D" w14:textId="77777777" w:rsidTr="008A3C49">
        <w:trPr>
          <w:trHeight w:val="987"/>
        </w:trPr>
        <w:tc>
          <w:tcPr>
            <w:tcW w:w="3351" w:type="dxa"/>
            <w:shd w:val="clear" w:color="auto" w:fill="8DB3E2" w:themeFill="text2" w:themeFillTint="66"/>
            <w:vAlign w:val="center"/>
            <w:hideMark/>
          </w:tcPr>
          <w:p w14:paraId="34486882" w14:textId="77777777" w:rsidR="00295AE9" w:rsidRPr="00BC6981" w:rsidRDefault="00295AE9" w:rsidP="001538EF">
            <w:pPr>
              <w:jc w:val="center"/>
              <w:rPr>
                <w:rFonts w:asciiTheme="minorHAnsi" w:hAnsiTheme="minorHAnsi"/>
                <w:b/>
                <w:sz w:val="18"/>
                <w:szCs w:val="18"/>
                <w:lang w:val="sr-Latn-RS" w:eastAsia="sr-Latn-RS"/>
              </w:rPr>
            </w:pPr>
            <w:r w:rsidRPr="00BC6981">
              <w:rPr>
                <w:rFonts w:asciiTheme="minorHAnsi" w:hAnsiTheme="minorHAnsi"/>
                <w:b/>
                <w:sz w:val="18"/>
                <w:szCs w:val="18"/>
                <w:lang w:eastAsia="sr-Latn-RS"/>
              </w:rPr>
              <w:t>Finansijski posrednik</w:t>
            </w:r>
          </w:p>
        </w:tc>
        <w:tc>
          <w:tcPr>
            <w:tcW w:w="1101" w:type="dxa"/>
            <w:shd w:val="clear" w:color="auto" w:fill="8DB3E2" w:themeFill="text2" w:themeFillTint="66"/>
          </w:tcPr>
          <w:p w14:paraId="58DE1E57" w14:textId="77777777" w:rsidR="00295AE9" w:rsidRDefault="00295AE9" w:rsidP="001538EF">
            <w:pPr>
              <w:jc w:val="center"/>
              <w:rPr>
                <w:rFonts w:asciiTheme="minorHAnsi" w:hAnsiTheme="minorHAnsi"/>
                <w:b/>
                <w:sz w:val="18"/>
                <w:szCs w:val="18"/>
                <w:lang w:val="sr-Cyrl-RS" w:eastAsia="sr-Latn-RS"/>
              </w:rPr>
            </w:pPr>
          </w:p>
          <w:p w14:paraId="5C3EC4A6" w14:textId="77777777" w:rsidR="008A3C49" w:rsidRDefault="008A3C49" w:rsidP="001538EF">
            <w:pPr>
              <w:jc w:val="center"/>
              <w:rPr>
                <w:rFonts w:asciiTheme="minorHAnsi" w:hAnsiTheme="minorHAnsi"/>
                <w:b/>
                <w:sz w:val="18"/>
                <w:szCs w:val="18"/>
                <w:lang w:val="sr-Cyrl-RS" w:eastAsia="sr-Latn-RS"/>
              </w:rPr>
            </w:pPr>
          </w:p>
          <w:p w14:paraId="6F0AF45C" w14:textId="77777777" w:rsidR="00295AE9" w:rsidRPr="00295AE9" w:rsidRDefault="00295AE9" w:rsidP="001538EF">
            <w:pPr>
              <w:jc w:val="center"/>
              <w:rPr>
                <w:rFonts w:asciiTheme="minorHAnsi" w:hAnsiTheme="minorHAnsi"/>
                <w:b/>
                <w:sz w:val="18"/>
                <w:szCs w:val="18"/>
                <w:lang w:val="sr-Cyrl-RS" w:eastAsia="sr-Latn-RS"/>
              </w:rPr>
            </w:pPr>
            <w:r>
              <w:rPr>
                <w:rFonts w:asciiTheme="minorHAnsi" w:hAnsiTheme="minorHAnsi"/>
                <w:b/>
                <w:sz w:val="18"/>
                <w:szCs w:val="18"/>
                <w:lang w:eastAsia="sr-Latn-RS"/>
              </w:rPr>
              <w:t>Портфељ</w:t>
            </w:r>
          </w:p>
        </w:tc>
        <w:tc>
          <w:tcPr>
            <w:tcW w:w="1490" w:type="dxa"/>
            <w:shd w:val="clear" w:color="auto" w:fill="8DB3E2" w:themeFill="text2" w:themeFillTint="66"/>
            <w:vAlign w:val="center"/>
            <w:hideMark/>
          </w:tcPr>
          <w:p w14:paraId="124D6862" w14:textId="58F6CA0A" w:rsidR="00295AE9" w:rsidRPr="00BC6981" w:rsidRDefault="0093724A" w:rsidP="001538EF">
            <w:pPr>
              <w:jc w:val="center"/>
              <w:rPr>
                <w:rFonts w:asciiTheme="minorHAnsi" w:hAnsiTheme="minorHAnsi"/>
                <w:b/>
                <w:sz w:val="18"/>
                <w:szCs w:val="18"/>
                <w:lang w:val="sr-Latn-RS" w:eastAsia="sr-Latn-RS"/>
              </w:rPr>
            </w:pPr>
            <w:r>
              <w:rPr>
                <w:rFonts w:asciiTheme="minorHAnsi" w:hAnsiTheme="minorHAnsi"/>
                <w:b/>
                <w:sz w:val="18"/>
                <w:szCs w:val="18"/>
                <w:lang w:eastAsia="sr-Latn-RS"/>
              </w:rPr>
              <w:t>Ugovoreni kreditni portfolio</w:t>
            </w:r>
          </w:p>
        </w:tc>
        <w:tc>
          <w:tcPr>
            <w:tcW w:w="1505" w:type="dxa"/>
            <w:shd w:val="clear" w:color="auto" w:fill="8DB3E2" w:themeFill="text2" w:themeFillTint="66"/>
            <w:vAlign w:val="center"/>
            <w:hideMark/>
          </w:tcPr>
          <w:p w14:paraId="3EAA2DED" w14:textId="2D012F4C" w:rsidR="00295AE9" w:rsidRPr="00BC6981" w:rsidRDefault="00295AE9" w:rsidP="0027783B">
            <w:pPr>
              <w:jc w:val="center"/>
              <w:rPr>
                <w:rFonts w:asciiTheme="minorHAnsi" w:hAnsiTheme="minorHAnsi"/>
                <w:b/>
                <w:sz w:val="18"/>
                <w:szCs w:val="18"/>
                <w:lang w:val="sr-Latn-RS" w:eastAsia="sr-Latn-RS"/>
              </w:rPr>
            </w:pPr>
            <w:r w:rsidRPr="00BC6981">
              <w:rPr>
                <w:rFonts w:asciiTheme="minorHAnsi" w:hAnsiTheme="minorHAnsi"/>
                <w:b/>
                <w:sz w:val="18"/>
                <w:szCs w:val="18"/>
                <w:lang w:eastAsia="sr-Latn-RS"/>
              </w:rPr>
              <w:t xml:space="preserve">Realizovani </w:t>
            </w:r>
            <w:r w:rsidR="0093724A">
              <w:rPr>
                <w:rFonts w:asciiTheme="minorHAnsi" w:hAnsiTheme="minorHAnsi"/>
                <w:b/>
                <w:sz w:val="18"/>
                <w:szCs w:val="18"/>
                <w:lang w:eastAsia="sr-Latn-RS"/>
              </w:rPr>
              <w:t>kreditni portfolio</w:t>
            </w:r>
          </w:p>
        </w:tc>
        <w:tc>
          <w:tcPr>
            <w:tcW w:w="1337" w:type="dxa"/>
            <w:shd w:val="clear" w:color="auto" w:fill="8DB3E2" w:themeFill="text2" w:themeFillTint="66"/>
            <w:vAlign w:val="center"/>
            <w:hideMark/>
          </w:tcPr>
          <w:p w14:paraId="21B0AB06" w14:textId="77777777" w:rsidR="00295AE9" w:rsidRPr="00BC6981" w:rsidRDefault="00295AE9" w:rsidP="001538EF">
            <w:pPr>
              <w:jc w:val="center"/>
              <w:rPr>
                <w:rFonts w:asciiTheme="minorHAnsi" w:hAnsiTheme="minorHAnsi"/>
                <w:b/>
                <w:sz w:val="18"/>
                <w:szCs w:val="18"/>
                <w:lang w:val="sr-Latn-RS" w:eastAsia="sr-Latn-RS"/>
              </w:rPr>
            </w:pPr>
            <w:r w:rsidRPr="00BC6981">
              <w:rPr>
                <w:rFonts w:asciiTheme="minorHAnsi" w:hAnsiTheme="minorHAnsi"/>
                <w:b/>
                <w:sz w:val="18"/>
                <w:szCs w:val="18"/>
                <w:lang w:eastAsia="sr-Latn-RS"/>
              </w:rPr>
              <w:t>Stopa realizacije</w:t>
            </w:r>
          </w:p>
        </w:tc>
      </w:tr>
      <w:tr w:rsidR="00295AE9" w:rsidRPr="005767EF" w14:paraId="72732885" w14:textId="77777777" w:rsidTr="008A3C49">
        <w:trPr>
          <w:trHeight w:val="219"/>
        </w:trPr>
        <w:tc>
          <w:tcPr>
            <w:tcW w:w="3351" w:type="dxa"/>
            <w:vMerge w:val="restart"/>
            <w:shd w:val="clear" w:color="auto" w:fill="auto"/>
            <w:vAlign w:val="center"/>
            <w:hideMark/>
          </w:tcPr>
          <w:p w14:paraId="6FF79AB1" w14:textId="77777777" w:rsidR="00295AE9" w:rsidRPr="00BC6981" w:rsidRDefault="00295AE9" w:rsidP="00295AE9">
            <w:pPr>
              <w:jc w:val="left"/>
              <w:rPr>
                <w:rFonts w:asciiTheme="minorHAnsi" w:hAnsiTheme="minorHAnsi"/>
                <w:caps/>
                <w:sz w:val="18"/>
                <w:szCs w:val="18"/>
                <w:lang w:val="sr-Latn-RS" w:eastAsia="sr-Latn-RS"/>
              </w:rPr>
            </w:pPr>
            <w:r w:rsidRPr="00BC6981">
              <w:rPr>
                <w:rFonts w:asciiTheme="minorHAnsi" w:hAnsiTheme="minorHAnsi"/>
                <w:sz w:val="18"/>
                <w:szCs w:val="18"/>
                <w:lang w:eastAsia="sr-Latn-RS"/>
              </w:rPr>
              <w:t>Procredit bank d.d. Sarajevo</w:t>
            </w:r>
          </w:p>
        </w:tc>
        <w:tc>
          <w:tcPr>
            <w:tcW w:w="1101" w:type="dxa"/>
          </w:tcPr>
          <w:p w14:paraId="08F67E0D" w14:textId="7BFC5E9D" w:rsidR="00295AE9" w:rsidRPr="0093724A" w:rsidRDefault="0093724A" w:rsidP="001538EF">
            <w:pPr>
              <w:jc w:val="right"/>
              <w:rPr>
                <w:rFonts w:asciiTheme="minorHAnsi" w:hAnsiTheme="minorHAnsi"/>
                <w:sz w:val="18"/>
                <w:szCs w:val="18"/>
                <w:lang w:val="sr-Latn-BA" w:eastAsia="sr-Latn-RS"/>
              </w:rPr>
            </w:pPr>
            <w:r>
              <w:rPr>
                <w:rFonts w:asciiTheme="minorHAnsi" w:hAnsiTheme="minorHAnsi"/>
                <w:sz w:val="18"/>
                <w:szCs w:val="18"/>
                <w:lang w:val="sr-Latn-BA" w:eastAsia="sr-Latn-RS"/>
              </w:rPr>
              <w:t>Opšti</w:t>
            </w:r>
          </w:p>
        </w:tc>
        <w:tc>
          <w:tcPr>
            <w:tcW w:w="1490" w:type="dxa"/>
            <w:shd w:val="clear" w:color="auto" w:fill="auto"/>
            <w:vAlign w:val="center"/>
            <w:hideMark/>
          </w:tcPr>
          <w:p w14:paraId="734E750A" w14:textId="77777777" w:rsidR="00295AE9" w:rsidRPr="00BC6981" w:rsidRDefault="00295AE9" w:rsidP="001538EF">
            <w:pPr>
              <w:jc w:val="right"/>
              <w:rPr>
                <w:rFonts w:asciiTheme="minorHAnsi" w:hAnsiTheme="minorHAnsi"/>
                <w:sz w:val="18"/>
                <w:szCs w:val="18"/>
                <w:lang w:val="sr-Latn-RS" w:eastAsia="sr-Latn-RS"/>
              </w:rPr>
            </w:pPr>
            <w:r>
              <w:rPr>
                <w:rFonts w:asciiTheme="minorHAnsi" w:hAnsiTheme="minorHAnsi"/>
                <w:sz w:val="18"/>
                <w:szCs w:val="18"/>
                <w:lang w:eastAsia="sr-Latn-RS"/>
              </w:rPr>
              <w:t>40.000.000,00</w:t>
            </w:r>
          </w:p>
        </w:tc>
        <w:tc>
          <w:tcPr>
            <w:tcW w:w="1505" w:type="dxa"/>
            <w:shd w:val="clear" w:color="auto" w:fill="auto"/>
            <w:vAlign w:val="center"/>
            <w:hideMark/>
          </w:tcPr>
          <w:p w14:paraId="23ECE2F1" w14:textId="77777777" w:rsidR="00295AE9" w:rsidRPr="0027783B"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30.363.000,01</w:t>
            </w:r>
          </w:p>
        </w:tc>
        <w:tc>
          <w:tcPr>
            <w:tcW w:w="1337" w:type="dxa"/>
            <w:shd w:val="clear" w:color="auto" w:fill="auto"/>
            <w:noWrap/>
            <w:vAlign w:val="center"/>
            <w:hideMark/>
          </w:tcPr>
          <w:p w14:paraId="51CAF704" w14:textId="77777777" w:rsidR="00295AE9" w:rsidRPr="00BC6981" w:rsidRDefault="00295AE9" w:rsidP="001538EF">
            <w:pPr>
              <w:jc w:val="center"/>
              <w:rPr>
                <w:rFonts w:asciiTheme="minorHAnsi" w:hAnsiTheme="minorHAnsi"/>
                <w:sz w:val="18"/>
                <w:szCs w:val="18"/>
                <w:lang w:val="sr-Latn-RS" w:eastAsia="sr-Latn-RS"/>
              </w:rPr>
            </w:pPr>
            <w:r>
              <w:rPr>
                <w:rFonts w:asciiTheme="minorHAnsi" w:hAnsiTheme="minorHAnsi"/>
                <w:sz w:val="18"/>
                <w:szCs w:val="18"/>
                <w:lang w:eastAsia="sr-Latn-RS"/>
              </w:rPr>
              <w:t>75,91%</w:t>
            </w:r>
          </w:p>
        </w:tc>
      </w:tr>
      <w:tr w:rsidR="00295AE9" w:rsidRPr="005767EF" w14:paraId="4109890C" w14:textId="77777777" w:rsidTr="008A3C49">
        <w:trPr>
          <w:trHeight w:val="219"/>
        </w:trPr>
        <w:tc>
          <w:tcPr>
            <w:tcW w:w="3351" w:type="dxa"/>
            <w:vMerge/>
            <w:shd w:val="clear" w:color="auto" w:fill="auto"/>
            <w:vAlign w:val="center"/>
          </w:tcPr>
          <w:p w14:paraId="46E66EE0" w14:textId="77777777" w:rsidR="00295AE9" w:rsidRPr="00BC6981" w:rsidRDefault="00295AE9" w:rsidP="001538EF">
            <w:pPr>
              <w:jc w:val="left"/>
              <w:rPr>
                <w:rFonts w:asciiTheme="minorHAnsi" w:hAnsiTheme="minorHAnsi"/>
                <w:sz w:val="18"/>
                <w:szCs w:val="18"/>
                <w:lang w:val="sr-Latn-RS" w:eastAsia="sr-Latn-RS"/>
              </w:rPr>
            </w:pPr>
          </w:p>
        </w:tc>
        <w:tc>
          <w:tcPr>
            <w:tcW w:w="1101" w:type="dxa"/>
          </w:tcPr>
          <w:p w14:paraId="11386B42"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OIE</w:t>
            </w:r>
          </w:p>
        </w:tc>
        <w:tc>
          <w:tcPr>
            <w:tcW w:w="1490" w:type="dxa"/>
            <w:shd w:val="clear" w:color="auto" w:fill="auto"/>
            <w:vAlign w:val="center"/>
          </w:tcPr>
          <w:p w14:paraId="3C777B53"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20.000.000,00</w:t>
            </w:r>
          </w:p>
        </w:tc>
        <w:tc>
          <w:tcPr>
            <w:tcW w:w="1505" w:type="dxa"/>
            <w:shd w:val="clear" w:color="auto" w:fill="auto"/>
            <w:vAlign w:val="center"/>
          </w:tcPr>
          <w:p w14:paraId="4EC2E968" w14:textId="77777777" w:rsidR="00295AE9" w:rsidRDefault="00295AE9" w:rsidP="001538EF">
            <w:pPr>
              <w:jc w:val="right"/>
              <w:rPr>
                <w:rFonts w:asciiTheme="minorHAnsi" w:hAnsiTheme="minorHAnsi"/>
                <w:sz w:val="18"/>
                <w:szCs w:val="18"/>
                <w:lang w:val="sr-Cyrl-RS" w:eastAsia="sr-Latn-RS"/>
              </w:rPr>
            </w:pPr>
            <w:r w:rsidRPr="00295AE9">
              <w:rPr>
                <w:rFonts w:asciiTheme="minorHAnsi" w:hAnsiTheme="minorHAnsi"/>
                <w:sz w:val="18"/>
                <w:szCs w:val="18"/>
                <w:lang w:eastAsia="sr-Latn-RS"/>
              </w:rPr>
              <w:t>3.175.000,02</w:t>
            </w:r>
          </w:p>
        </w:tc>
        <w:tc>
          <w:tcPr>
            <w:tcW w:w="1337" w:type="dxa"/>
            <w:shd w:val="clear" w:color="auto" w:fill="auto"/>
            <w:noWrap/>
            <w:vAlign w:val="center"/>
          </w:tcPr>
          <w:p w14:paraId="268114D9" w14:textId="77777777" w:rsidR="00295AE9" w:rsidRDefault="00295AE9" w:rsidP="001538EF">
            <w:pPr>
              <w:jc w:val="center"/>
              <w:rPr>
                <w:rFonts w:asciiTheme="minorHAnsi" w:hAnsiTheme="minorHAnsi"/>
                <w:sz w:val="18"/>
                <w:szCs w:val="18"/>
                <w:lang w:val="sr-Cyrl-RS" w:eastAsia="sr-Latn-RS"/>
              </w:rPr>
            </w:pPr>
            <w:r>
              <w:rPr>
                <w:rFonts w:asciiTheme="minorHAnsi" w:hAnsiTheme="minorHAnsi"/>
                <w:sz w:val="18"/>
                <w:szCs w:val="18"/>
                <w:lang w:eastAsia="sr-Latn-RS"/>
              </w:rPr>
              <w:t>15,87%</w:t>
            </w:r>
          </w:p>
        </w:tc>
      </w:tr>
      <w:tr w:rsidR="00295AE9" w:rsidRPr="005767EF" w14:paraId="5C1FCA00" w14:textId="77777777" w:rsidTr="008A3C49">
        <w:trPr>
          <w:trHeight w:val="219"/>
        </w:trPr>
        <w:tc>
          <w:tcPr>
            <w:tcW w:w="3351" w:type="dxa"/>
            <w:vMerge w:val="restart"/>
            <w:shd w:val="clear" w:color="auto" w:fill="auto"/>
            <w:vAlign w:val="center"/>
            <w:hideMark/>
          </w:tcPr>
          <w:p w14:paraId="25DB5E63" w14:textId="77777777" w:rsidR="00295AE9" w:rsidRPr="00BC6981" w:rsidRDefault="00295AE9" w:rsidP="001538EF">
            <w:pPr>
              <w:jc w:val="left"/>
              <w:rPr>
                <w:rFonts w:asciiTheme="minorHAnsi" w:hAnsiTheme="minorHAnsi"/>
                <w:caps/>
                <w:sz w:val="18"/>
                <w:szCs w:val="18"/>
                <w:lang w:val="sr-Latn-RS" w:eastAsia="sr-Latn-RS"/>
              </w:rPr>
            </w:pPr>
            <w:r w:rsidRPr="00BC6981">
              <w:rPr>
                <w:rFonts w:asciiTheme="minorHAnsi" w:hAnsiTheme="minorHAnsi"/>
                <w:sz w:val="18"/>
                <w:szCs w:val="18"/>
                <w:lang w:eastAsia="sr-Latn-RS"/>
              </w:rPr>
              <w:t>Unicredit bank a.d. Banja Luka</w:t>
            </w:r>
          </w:p>
        </w:tc>
        <w:tc>
          <w:tcPr>
            <w:tcW w:w="1101" w:type="dxa"/>
          </w:tcPr>
          <w:p w14:paraId="6BC0CB50" w14:textId="1F422472" w:rsidR="00295AE9" w:rsidRDefault="0093724A"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Opšti</w:t>
            </w:r>
          </w:p>
        </w:tc>
        <w:tc>
          <w:tcPr>
            <w:tcW w:w="1490" w:type="dxa"/>
            <w:shd w:val="clear" w:color="auto" w:fill="auto"/>
            <w:vAlign w:val="center"/>
            <w:hideMark/>
          </w:tcPr>
          <w:p w14:paraId="5E44A39D" w14:textId="77777777" w:rsidR="00295AE9" w:rsidRPr="00BC6981" w:rsidRDefault="00295AE9" w:rsidP="001538EF">
            <w:pPr>
              <w:jc w:val="right"/>
              <w:rPr>
                <w:rFonts w:asciiTheme="minorHAnsi" w:hAnsiTheme="minorHAnsi"/>
                <w:sz w:val="18"/>
                <w:szCs w:val="18"/>
                <w:lang w:val="sr-Latn-RS" w:eastAsia="sr-Latn-RS"/>
              </w:rPr>
            </w:pPr>
            <w:r>
              <w:rPr>
                <w:rFonts w:asciiTheme="minorHAnsi" w:hAnsiTheme="minorHAnsi"/>
                <w:sz w:val="18"/>
                <w:szCs w:val="18"/>
                <w:lang w:eastAsia="sr-Latn-RS"/>
              </w:rPr>
              <w:t>30.000.000,00</w:t>
            </w:r>
          </w:p>
        </w:tc>
        <w:tc>
          <w:tcPr>
            <w:tcW w:w="1505" w:type="dxa"/>
            <w:shd w:val="clear" w:color="auto" w:fill="auto"/>
            <w:vAlign w:val="center"/>
            <w:hideMark/>
          </w:tcPr>
          <w:p w14:paraId="0A459914" w14:textId="77777777" w:rsidR="00295AE9" w:rsidRPr="0027783B"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19.022.566,88</w:t>
            </w:r>
          </w:p>
        </w:tc>
        <w:tc>
          <w:tcPr>
            <w:tcW w:w="1337" w:type="dxa"/>
            <w:shd w:val="clear" w:color="auto" w:fill="auto"/>
            <w:noWrap/>
            <w:vAlign w:val="center"/>
            <w:hideMark/>
          </w:tcPr>
          <w:p w14:paraId="2B0E3BFB" w14:textId="77777777" w:rsidR="00295AE9" w:rsidRPr="00BC6981" w:rsidRDefault="00295AE9" w:rsidP="001538EF">
            <w:pPr>
              <w:jc w:val="center"/>
              <w:rPr>
                <w:rFonts w:asciiTheme="minorHAnsi" w:hAnsiTheme="minorHAnsi"/>
                <w:sz w:val="18"/>
                <w:szCs w:val="18"/>
                <w:lang w:val="sr-Latn-RS" w:eastAsia="sr-Latn-RS"/>
              </w:rPr>
            </w:pPr>
            <w:r>
              <w:rPr>
                <w:rFonts w:asciiTheme="minorHAnsi" w:hAnsiTheme="minorHAnsi"/>
                <w:sz w:val="18"/>
                <w:szCs w:val="18"/>
                <w:lang w:eastAsia="sr-Latn-RS"/>
              </w:rPr>
              <w:t>38,04%</w:t>
            </w:r>
          </w:p>
        </w:tc>
      </w:tr>
      <w:tr w:rsidR="00295AE9" w:rsidRPr="005767EF" w14:paraId="0EA2A511" w14:textId="77777777" w:rsidTr="008A3C49">
        <w:trPr>
          <w:trHeight w:val="219"/>
        </w:trPr>
        <w:tc>
          <w:tcPr>
            <w:tcW w:w="3351" w:type="dxa"/>
            <w:vMerge/>
            <w:shd w:val="clear" w:color="auto" w:fill="auto"/>
            <w:vAlign w:val="center"/>
          </w:tcPr>
          <w:p w14:paraId="4A953638" w14:textId="77777777" w:rsidR="00295AE9" w:rsidRPr="00874DE2" w:rsidRDefault="00295AE9" w:rsidP="001538EF">
            <w:pPr>
              <w:jc w:val="left"/>
              <w:rPr>
                <w:rFonts w:asciiTheme="minorHAnsi" w:hAnsiTheme="minorHAnsi"/>
                <w:color w:val="auto"/>
                <w:sz w:val="18"/>
                <w:szCs w:val="18"/>
                <w:lang w:val="sr-Latn-RS" w:eastAsia="sr-Latn-RS"/>
              </w:rPr>
            </w:pPr>
          </w:p>
        </w:tc>
        <w:tc>
          <w:tcPr>
            <w:tcW w:w="1101" w:type="dxa"/>
          </w:tcPr>
          <w:p w14:paraId="594DE27A" w14:textId="77777777" w:rsidR="00295AE9" w:rsidRPr="00874DE2"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OIE</w:t>
            </w:r>
          </w:p>
        </w:tc>
        <w:tc>
          <w:tcPr>
            <w:tcW w:w="1490" w:type="dxa"/>
            <w:shd w:val="clear" w:color="auto" w:fill="auto"/>
            <w:vAlign w:val="center"/>
          </w:tcPr>
          <w:p w14:paraId="1BF63DE3" w14:textId="77777777" w:rsidR="00295AE9" w:rsidRPr="00874DE2"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20.000.000,00</w:t>
            </w:r>
          </w:p>
        </w:tc>
        <w:tc>
          <w:tcPr>
            <w:tcW w:w="1505" w:type="dxa"/>
            <w:shd w:val="clear" w:color="auto" w:fill="auto"/>
            <w:vAlign w:val="center"/>
          </w:tcPr>
          <w:p w14:paraId="50B0DF97" w14:textId="77777777" w:rsidR="00295AE9"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0,00</w:t>
            </w:r>
          </w:p>
        </w:tc>
        <w:tc>
          <w:tcPr>
            <w:tcW w:w="1337" w:type="dxa"/>
            <w:shd w:val="clear" w:color="auto" w:fill="auto"/>
            <w:noWrap/>
            <w:vAlign w:val="center"/>
          </w:tcPr>
          <w:p w14:paraId="2C7E918D" w14:textId="77777777" w:rsidR="00295AE9" w:rsidRPr="00295AE9" w:rsidRDefault="00295AE9" w:rsidP="001538EF">
            <w:pPr>
              <w:jc w:val="center"/>
              <w:rPr>
                <w:rFonts w:asciiTheme="minorHAnsi" w:hAnsiTheme="minorHAnsi"/>
                <w:sz w:val="18"/>
                <w:szCs w:val="18"/>
                <w:lang w:val="sr-Cyrl-RS" w:eastAsia="sr-Latn-RS"/>
              </w:rPr>
            </w:pPr>
            <w:r>
              <w:rPr>
                <w:rFonts w:asciiTheme="minorHAnsi" w:hAnsiTheme="minorHAnsi"/>
                <w:sz w:val="18"/>
                <w:szCs w:val="18"/>
                <w:lang w:eastAsia="sr-Latn-RS"/>
              </w:rPr>
              <w:t>0,00%</w:t>
            </w:r>
          </w:p>
        </w:tc>
      </w:tr>
      <w:tr w:rsidR="00295AE9" w:rsidRPr="005767EF" w14:paraId="17574B81" w14:textId="77777777" w:rsidTr="008A3C49">
        <w:trPr>
          <w:trHeight w:val="219"/>
        </w:trPr>
        <w:tc>
          <w:tcPr>
            <w:tcW w:w="3351" w:type="dxa"/>
            <w:vMerge w:val="restart"/>
            <w:shd w:val="clear" w:color="auto" w:fill="auto"/>
            <w:vAlign w:val="center"/>
            <w:hideMark/>
          </w:tcPr>
          <w:p w14:paraId="10A344A9" w14:textId="77777777" w:rsidR="00295AE9" w:rsidRPr="00874DE2" w:rsidRDefault="00295AE9" w:rsidP="001538EF">
            <w:pPr>
              <w:jc w:val="left"/>
              <w:rPr>
                <w:rFonts w:asciiTheme="minorHAnsi" w:hAnsiTheme="minorHAnsi"/>
                <w:caps/>
                <w:color w:val="auto"/>
                <w:sz w:val="18"/>
                <w:szCs w:val="18"/>
                <w:lang w:val="sr-Latn-RS" w:eastAsia="sr-Latn-RS"/>
              </w:rPr>
            </w:pPr>
            <w:r w:rsidRPr="00874DE2">
              <w:rPr>
                <w:rFonts w:asciiTheme="minorHAnsi" w:hAnsiTheme="minorHAnsi"/>
                <w:color w:val="auto"/>
                <w:sz w:val="18"/>
                <w:szCs w:val="18"/>
                <w:lang w:eastAsia="sr-Latn-RS"/>
              </w:rPr>
              <w:t>MF Banka a.d. Banja Luka</w:t>
            </w:r>
          </w:p>
        </w:tc>
        <w:tc>
          <w:tcPr>
            <w:tcW w:w="1101" w:type="dxa"/>
          </w:tcPr>
          <w:p w14:paraId="628DC5CF" w14:textId="5AEFC61D" w:rsidR="00295AE9" w:rsidRPr="00874DE2" w:rsidRDefault="0093724A" w:rsidP="001538EF">
            <w:pPr>
              <w:jc w:val="right"/>
              <w:rPr>
                <w:rFonts w:asciiTheme="minorHAnsi" w:hAnsiTheme="minorHAnsi"/>
                <w:sz w:val="18"/>
                <w:szCs w:val="18"/>
                <w:lang w:val="sr-Cyrl-RS" w:eastAsia="sr-Latn-RS"/>
              </w:rPr>
            </w:pPr>
            <w:r>
              <w:rPr>
                <w:rFonts w:asciiTheme="minorHAnsi" w:hAnsiTheme="minorHAnsi"/>
                <w:sz w:val="18"/>
                <w:szCs w:val="18"/>
                <w:lang w:val="sr-Cyrl-RS" w:eastAsia="sr-Latn-RS"/>
              </w:rPr>
              <w:t>Opšti</w:t>
            </w:r>
          </w:p>
        </w:tc>
        <w:tc>
          <w:tcPr>
            <w:tcW w:w="1490" w:type="dxa"/>
            <w:shd w:val="clear" w:color="auto" w:fill="auto"/>
            <w:vAlign w:val="center"/>
            <w:hideMark/>
          </w:tcPr>
          <w:p w14:paraId="73EA7BCD" w14:textId="77777777" w:rsidR="00295AE9" w:rsidRPr="00874DE2" w:rsidRDefault="00295AE9" w:rsidP="001538EF">
            <w:pPr>
              <w:jc w:val="right"/>
              <w:rPr>
                <w:rFonts w:asciiTheme="minorHAnsi" w:hAnsiTheme="minorHAnsi"/>
                <w:sz w:val="18"/>
                <w:szCs w:val="18"/>
                <w:lang w:val="sr-Latn-RS" w:eastAsia="sr-Latn-RS"/>
              </w:rPr>
            </w:pPr>
            <w:r w:rsidRPr="00874DE2">
              <w:rPr>
                <w:rFonts w:asciiTheme="minorHAnsi" w:hAnsiTheme="minorHAnsi"/>
                <w:sz w:val="18"/>
                <w:szCs w:val="18"/>
                <w:lang w:eastAsia="sr-Latn-RS"/>
              </w:rPr>
              <w:t>10.000.000,00</w:t>
            </w:r>
          </w:p>
        </w:tc>
        <w:tc>
          <w:tcPr>
            <w:tcW w:w="1505" w:type="dxa"/>
            <w:shd w:val="clear" w:color="auto" w:fill="auto"/>
            <w:vAlign w:val="center"/>
            <w:hideMark/>
          </w:tcPr>
          <w:p w14:paraId="059C4D01" w14:textId="77777777" w:rsidR="00295AE9" w:rsidRPr="0027783B" w:rsidRDefault="00295AE9" w:rsidP="001538EF">
            <w:pPr>
              <w:jc w:val="right"/>
              <w:rPr>
                <w:rFonts w:asciiTheme="minorHAnsi" w:hAnsiTheme="minorHAnsi"/>
                <w:sz w:val="18"/>
                <w:szCs w:val="18"/>
                <w:lang w:val="sr-Cyrl-RS" w:eastAsia="sr-Latn-RS"/>
              </w:rPr>
            </w:pPr>
            <w:r>
              <w:rPr>
                <w:rFonts w:asciiTheme="minorHAnsi" w:hAnsiTheme="minorHAnsi"/>
                <w:sz w:val="18"/>
                <w:szCs w:val="18"/>
                <w:lang w:eastAsia="sr-Latn-RS"/>
              </w:rPr>
              <w:t>3.850.000,00</w:t>
            </w:r>
          </w:p>
        </w:tc>
        <w:tc>
          <w:tcPr>
            <w:tcW w:w="1337" w:type="dxa"/>
            <w:shd w:val="clear" w:color="auto" w:fill="auto"/>
            <w:noWrap/>
            <w:vAlign w:val="center"/>
            <w:hideMark/>
          </w:tcPr>
          <w:p w14:paraId="5842D7A2" w14:textId="77777777" w:rsidR="00295AE9" w:rsidRPr="00874DE2" w:rsidRDefault="00295AE9" w:rsidP="001538EF">
            <w:pPr>
              <w:jc w:val="center"/>
              <w:rPr>
                <w:rFonts w:asciiTheme="minorHAnsi" w:hAnsiTheme="minorHAnsi"/>
                <w:sz w:val="18"/>
                <w:szCs w:val="18"/>
                <w:lang w:val="sr-Latn-RS" w:eastAsia="sr-Latn-RS"/>
              </w:rPr>
            </w:pPr>
            <w:r w:rsidRPr="00874DE2">
              <w:rPr>
                <w:rFonts w:asciiTheme="minorHAnsi" w:hAnsiTheme="minorHAnsi"/>
                <w:sz w:val="18"/>
                <w:szCs w:val="18"/>
                <w:lang w:eastAsia="sr-Latn-RS"/>
              </w:rPr>
              <w:t>34,10%</w:t>
            </w:r>
          </w:p>
        </w:tc>
      </w:tr>
      <w:tr w:rsidR="00295AE9" w:rsidRPr="005767EF" w14:paraId="432D7703" w14:textId="77777777" w:rsidTr="008A3C49">
        <w:trPr>
          <w:trHeight w:val="219"/>
        </w:trPr>
        <w:tc>
          <w:tcPr>
            <w:tcW w:w="3351" w:type="dxa"/>
            <w:vMerge/>
            <w:shd w:val="clear" w:color="auto" w:fill="auto"/>
            <w:vAlign w:val="center"/>
          </w:tcPr>
          <w:p w14:paraId="0AF84BB0" w14:textId="77777777" w:rsidR="00295AE9" w:rsidRPr="00874DE2" w:rsidRDefault="00295AE9" w:rsidP="00CA5F52">
            <w:pPr>
              <w:jc w:val="left"/>
              <w:rPr>
                <w:rFonts w:asciiTheme="minorHAnsi" w:hAnsiTheme="minorHAnsi"/>
                <w:bCs/>
                <w:color w:val="auto"/>
                <w:sz w:val="18"/>
                <w:szCs w:val="18"/>
                <w:lang w:val="sr-Cyrl-BA" w:eastAsia="sr-Latn-RS"/>
              </w:rPr>
            </w:pPr>
          </w:p>
        </w:tc>
        <w:tc>
          <w:tcPr>
            <w:tcW w:w="1101" w:type="dxa"/>
          </w:tcPr>
          <w:p w14:paraId="727C5EC6" w14:textId="77777777" w:rsidR="00295AE9" w:rsidRPr="00874DE2" w:rsidRDefault="00295AE9" w:rsidP="001538EF">
            <w:pPr>
              <w:jc w:val="right"/>
              <w:rPr>
                <w:rFonts w:asciiTheme="minorHAnsi" w:hAnsiTheme="minorHAnsi"/>
                <w:bCs/>
                <w:sz w:val="18"/>
                <w:szCs w:val="18"/>
                <w:lang w:val="sr-Cyrl-RS" w:eastAsia="sr-Latn-RS"/>
              </w:rPr>
            </w:pPr>
            <w:r>
              <w:rPr>
                <w:rFonts w:asciiTheme="minorHAnsi" w:hAnsiTheme="minorHAnsi"/>
                <w:bCs/>
                <w:sz w:val="18"/>
                <w:szCs w:val="18"/>
                <w:lang w:eastAsia="sr-Latn-RS"/>
              </w:rPr>
              <w:t>OIE</w:t>
            </w:r>
          </w:p>
        </w:tc>
        <w:tc>
          <w:tcPr>
            <w:tcW w:w="1490" w:type="dxa"/>
            <w:shd w:val="clear" w:color="auto" w:fill="auto"/>
            <w:vAlign w:val="center"/>
          </w:tcPr>
          <w:p w14:paraId="284CC8D8" w14:textId="77777777" w:rsidR="00295AE9" w:rsidRPr="00874DE2" w:rsidRDefault="00295AE9" w:rsidP="001538EF">
            <w:pPr>
              <w:jc w:val="right"/>
              <w:rPr>
                <w:rFonts w:asciiTheme="minorHAnsi" w:hAnsiTheme="minorHAnsi"/>
                <w:bCs/>
                <w:sz w:val="18"/>
                <w:szCs w:val="18"/>
                <w:lang w:val="sr-Cyrl-RS" w:eastAsia="sr-Latn-RS"/>
              </w:rPr>
            </w:pPr>
            <w:r>
              <w:rPr>
                <w:rFonts w:asciiTheme="minorHAnsi" w:hAnsiTheme="minorHAnsi"/>
                <w:bCs/>
                <w:sz w:val="18"/>
                <w:szCs w:val="18"/>
                <w:lang w:eastAsia="sr-Latn-RS"/>
              </w:rPr>
              <w:t>5.000.000,00</w:t>
            </w:r>
          </w:p>
        </w:tc>
        <w:tc>
          <w:tcPr>
            <w:tcW w:w="1505" w:type="dxa"/>
            <w:shd w:val="clear" w:color="auto" w:fill="auto"/>
            <w:vAlign w:val="center"/>
          </w:tcPr>
          <w:p w14:paraId="24C1C423" w14:textId="77777777" w:rsidR="00295AE9" w:rsidRPr="00874DE2" w:rsidRDefault="00295AE9" w:rsidP="001538EF">
            <w:pPr>
              <w:jc w:val="right"/>
              <w:rPr>
                <w:rFonts w:asciiTheme="minorHAnsi" w:hAnsiTheme="minorHAnsi"/>
                <w:bCs/>
                <w:sz w:val="18"/>
                <w:szCs w:val="18"/>
                <w:lang w:val="sr-Cyrl-RS" w:eastAsia="sr-Latn-RS"/>
              </w:rPr>
            </w:pPr>
            <w:r>
              <w:rPr>
                <w:rFonts w:asciiTheme="minorHAnsi" w:hAnsiTheme="minorHAnsi"/>
                <w:bCs/>
                <w:sz w:val="18"/>
                <w:szCs w:val="18"/>
                <w:lang w:eastAsia="sr-Latn-RS"/>
              </w:rPr>
              <w:t>0,00</w:t>
            </w:r>
          </w:p>
        </w:tc>
        <w:tc>
          <w:tcPr>
            <w:tcW w:w="1337" w:type="dxa"/>
            <w:shd w:val="clear" w:color="auto" w:fill="auto"/>
            <w:noWrap/>
            <w:vAlign w:val="center"/>
          </w:tcPr>
          <w:p w14:paraId="388E3900" w14:textId="77777777" w:rsidR="00295AE9" w:rsidRPr="00874DE2" w:rsidRDefault="00295AE9" w:rsidP="001538EF">
            <w:pPr>
              <w:jc w:val="center"/>
              <w:rPr>
                <w:rFonts w:asciiTheme="minorHAnsi" w:hAnsiTheme="minorHAnsi"/>
                <w:bCs/>
                <w:sz w:val="18"/>
                <w:szCs w:val="18"/>
                <w:lang w:val="sr-Cyrl-RS" w:eastAsia="sr-Latn-RS"/>
              </w:rPr>
            </w:pPr>
            <w:r>
              <w:rPr>
                <w:rFonts w:asciiTheme="minorHAnsi" w:hAnsiTheme="minorHAnsi"/>
                <w:bCs/>
                <w:sz w:val="18"/>
                <w:szCs w:val="18"/>
                <w:lang w:eastAsia="sr-Latn-RS"/>
              </w:rPr>
              <w:t>0,00%</w:t>
            </w:r>
          </w:p>
        </w:tc>
      </w:tr>
      <w:tr w:rsidR="00295AE9" w:rsidRPr="005767EF" w14:paraId="66FE8627" w14:textId="77777777" w:rsidTr="008A3C49">
        <w:trPr>
          <w:trHeight w:val="265"/>
        </w:trPr>
        <w:tc>
          <w:tcPr>
            <w:tcW w:w="3351" w:type="dxa"/>
            <w:shd w:val="clear" w:color="auto" w:fill="auto"/>
            <w:vAlign w:val="center"/>
          </w:tcPr>
          <w:p w14:paraId="423B88E7" w14:textId="10B1D25A" w:rsidR="00295AE9" w:rsidRPr="00874DE2" w:rsidRDefault="00295AE9" w:rsidP="00CA5F52">
            <w:pPr>
              <w:jc w:val="left"/>
              <w:rPr>
                <w:rFonts w:asciiTheme="minorHAnsi" w:hAnsiTheme="minorHAnsi"/>
                <w:bCs/>
                <w:color w:val="auto"/>
                <w:sz w:val="18"/>
                <w:szCs w:val="18"/>
                <w:lang w:val="sr-Cyrl-BA" w:eastAsia="sr-Latn-RS"/>
              </w:rPr>
            </w:pPr>
            <w:r w:rsidRPr="00874DE2">
              <w:rPr>
                <w:rFonts w:asciiTheme="minorHAnsi" w:hAnsiTheme="minorHAnsi"/>
                <w:bCs/>
                <w:color w:val="auto"/>
                <w:sz w:val="18"/>
                <w:szCs w:val="18"/>
                <w:lang w:eastAsia="sr-Latn-RS"/>
              </w:rPr>
              <w:t xml:space="preserve">Sparkasse bank </w:t>
            </w:r>
            <w:r w:rsidR="0093724A">
              <w:rPr>
                <w:rFonts w:asciiTheme="minorHAnsi" w:hAnsiTheme="minorHAnsi"/>
                <w:bCs/>
                <w:color w:val="auto"/>
                <w:sz w:val="18"/>
                <w:szCs w:val="18"/>
                <w:lang w:eastAsia="sr-Latn-RS"/>
              </w:rPr>
              <w:t>d.d. BiH</w:t>
            </w:r>
          </w:p>
        </w:tc>
        <w:tc>
          <w:tcPr>
            <w:tcW w:w="1101" w:type="dxa"/>
          </w:tcPr>
          <w:p w14:paraId="00FFE575" w14:textId="7CC091E6" w:rsidR="00295AE9" w:rsidRPr="00874DE2" w:rsidRDefault="0093724A" w:rsidP="001538EF">
            <w:pPr>
              <w:jc w:val="right"/>
              <w:rPr>
                <w:rFonts w:asciiTheme="minorHAnsi" w:hAnsiTheme="minorHAnsi"/>
                <w:bCs/>
                <w:sz w:val="18"/>
                <w:szCs w:val="18"/>
                <w:lang w:val="sr-Cyrl-RS" w:eastAsia="sr-Latn-RS"/>
              </w:rPr>
            </w:pPr>
            <w:r>
              <w:rPr>
                <w:rFonts w:asciiTheme="minorHAnsi" w:hAnsiTheme="minorHAnsi"/>
                <w:bCs/>
                <w:sz w:val="18"/>
                <w:szCs w:val="18"/>
                <w:lang w:val="sr-Cyrl-RS" w:eastAsia="sr-Latn-RS"/>
              </w:rPr>
              <w:t>Opšti</w:t>
            </w:r>
          </w:p>
        </w:tc>
        <w:tc>
          <w:tcPr>
            <w:tcW w:w="1490" w:type="dxa"/>
            <w:shd w:val="clear" w:color="auto" w:fill="auto"/>
            <w:vAlign w:val="center"/>
          </w:tcPr>
          <w:p w14:paraId="74125D51" w14:textId="77777777" w:rsidR="00295AE9" w:rsidRPr="00874DE2" w:rsidRDefault="00295AE9" w:rsidP="001538EF">
            <w:pPr>
              <w:jc w:val="right"/>
              <w:rPr>
                <w:rFonts w:asciiTheme="minorHAnsi" w:hAnsiTheme="minorHAnsi"/>
                <w:bCs/>
                <w:sz w:val="18"/>
                <w:szCs w:val="18"/>
                <w:lang w:val="sr-Cyrl-RS" w:eastAsia="sr-Latn-RS"/>
              </w:rPr>
            </w:pPr>
            <w:r w:rsidRPr="00874DE2">
              <w:rPr>
                <w:rFonts w:asciiTheme="minorHAnsi" w:hAnsiTheme="minorHAnsi"/>
                <w:bCs/>
                <w:sz w:val="18"/>
                <w:szCs w:val="18"/>
                <w:lang w:eastAsia="sr-Latn-RS"/>
              </w:rPr>
              <w:t>10.000.000,00</w:t>
            </w:r>
          </w:p>
        </w:tc>
        <w:tc>
          <w:tcPr>
            <w:tcW w:w="1505" w:type="dxa"/>
            <w:shd w:val="clear" w:color="auto" w:fill="auto"/>
            <w:vAlign w:val="center"/>
          </w:tcPr>
          <w:p w14:paraId="7F92E5E2" w14:textId="77777777" w:rsidR="00295AE9" w:rsidRPr="00874DE2" w:rsidRDefault="00295AE9" w:rsidP="001538EF">
            <w:pPr>
              <w:jc w:val="right"/>
              <w:rPr>
                <w:rFonts w:asciiTheme="minorHAnsi" w:hAnsiTheme="minorHAnsi"/>
                <w:bCs/>
                <w:sz w:val="18"/>
                <w:szCs w:val="18"/>
                <w:lang w:val="sr-Cyrl-RS" w:eastAsia="sr-Latn-RS"/>
              </w:rPr>
            </w:pPr>
            <w:r w:rsidRPr="00874DE2">
              <w:rPr>
                <w:rFonts w:asciiTheme="minorHAnsi" w:hAnsiTheme="minorHAnsi"/>
                <w:bCs/>
                <w:sz w:val="18"/>
                <w:szCs w:val="18"/>
                <w:lang w:eastAsia="sr-Latn-RS"/>
              </w:rPr>
              <w:t>0,00</w:t>
            </w:r>
          </w:p>
        </w:tc>
        <w:tc>
          <w:tcPr>
            <w:tcW w:w="1337" w:type="dxa"/>
            <w:shd w:val="clear" w:color="auto" w:fill="auto"/>
            <w:noWrap/>
            <w:vAlign w:val="center"/>
          </w:tcPr>
          <w:p w14:paraId="418A056A" w14:textId="77777777" w:rsidR="00295AE9" w:rsidRPr="00874DE2" w:rsidRDefault="00295AE9" w:rsidP="001538EF">
            <w:pPr>
              <w:jc w:val="center"/>
              <w:rPr>
                <w:rFonts w:asciiTheme="minorHAnsi" w:hAnsiTheme="minorHAnsi"/>
                <w:bCs/>
                <w:sz w:val="18"/>
                <w:szCs w:val="18"/>
                <w:lang w:val="sr-Cyrl-RS" w:eastAsia="sr-Latn-RS"/>
              </w:rPr>
            </w:pPr>
            <w:r w:rsidRPr="00874DE2">
              <w:rPr>
                <w:rFonts w:asciiTheme="minorHAnsi" w:hAnsiTheme="minorHAnsi"/>
                <w:bCs/>
                <w:sz w:val="18"/>
                <w:szCs w:val="18"/>
                <w:lang w:eastAsia="sr-Latn-RS"/>
              </w:rPr>
              <w:t>0,00%</w:t>
            </w:r>
          </w:p>
        </w:tc>
      </w:tr>
      <w:tr w:rsidR="008A3C49" w:rsidRPr="005767EF" w14:paraId="2BF71562" w14:textId="77777777" w:rsidTr="008A3C49">
        <w:trPr>
          <w:trHeight w:val="219"/>
        </w:trPr>
        <w:tc>
          <w:tcPr>
            <w:tcW w:w="4452" w:type="dxa"/>
            <w:gridSpan w:val="2"/>
            <w:shd w:val="clear" w:color="auto" w:fill="8DB3E2" w:themeFill="text2" w:themeFillTint="66"/>
            <w:vAlign w:val="center"/>
            <w:hideMark/>
          </w:tcPr>
          <w:p w14:paraId="4D6D6D6B" w14:textId="3FEE1D94" w:rsidR="008A3C49" w:rsidRPr="008A3C49" w:rsidRDefault="0093724A" w:rsidP="008A3C49">
            <w:pPr>
              <w:jc w:val="center"/>
              <w:rPr>
                <w:rFonts w:asciiTheme="minorHAnsi" w:hAnsiTheme="minorHAnsi"/>
                <w:b/>
                <w:bCs/>
                <w:color w:val="auto"/>
                <w:sz w:val="20"/>
                <w:szCs w:val="20"/>
                <w:lang w:val="sr-Cyrl-BA" w:eastAsia="sr-Latn-RS"/>
              </w:rPr>
            </w:pPr>
            <w:r>
              <w:rPr>
                <w:rFonts w:asciiTheme="minorHAnsi" w:hAnsiTheme="minorHAnsi"/>
                <w:b/>
                <w:bCs/>
                <w:color w:val="auto"/>
                <w:sz w:val="20"/>
                <w:szCs w:val="20"/>
                <w:lang w:val="sr-Cyrl-BA" w:eastAsia="sr-Latn-RS"/>
              </w:rPr>
              <w:t>UKUPNO</w:t>
            </w:r>
          </w:p>
        </w:tc>
        <w:tc>
          <w:tcPr>
            <w:tcW w:w="1490" w:type="dxa"/>
            <w:shd w:val="clear" w:color="auto" w:fill="8DB3E2" w:themeFill="text2" w:themeFillTint="66"/>
            <w:vAlign w:val="center"/>
            <w:hideMark/>
          </w:tcPr>
          <w:p w14:paraId="7A0B873F" w14:textId="77777777" w:rsidR="008A3C49" w:rsidRPr="008A3C49" w:rsidRDefault="008A3C49" w:rsidP="001538EF">
            <w:pPr>
              <w:jc w:val="right"/>
              <w:rPr>
                <w:rFonts w:asciiTheme="minorHAnsi" w:hAnsiTheme="minorHAnsi"/>
                <w:sz w:val="18"/>
                <w:szCs w:val="18"/>
                <w:lang w:val="sr-Latn-RS" w:eastAsia="sr-Latn-RS"/>
              </w:rPr>
            </w:pPr>
            <w:r w:rsidRPr="008A3C49">
              <w:rPr>
                <w:rFonts w:asciiTheme="minorHAnsi" w:hAnsiTheme="minorHAnsi"/>
                <w:b/>
                <w:bCs/>
                <w:sz w:val="18"/>
                <w:szCs w:val="18"/>
                <w:lang w:eastAsia="sr-Latn-RS"/>
              </w:rPr>
              <w:t>135.000.000,00</w:t>
            </w:r>
          </w:p>
        </w:tc>
        <w:tc>
          <w:tcPr>
            <w:tcW w:w="1505" w:type="dxa"/>
            <w:shd w:val="clear" w:color="auto" w:fill="8DB3E2" w:themeFill="text2" w:themeFillTint="66"/>
            <w:vAlign w:val="center"/>
            <w:hideMark/>
          </w:tcPr>
          <w:p w14:paraId="275072E0" w14:textId="77777777" w:rsidR="008A3C49" w:rsidRPr="008A3C49" w:rsidRDefault="008A3C49" w:rsidP="001538EF">
            <w:pPr>
              <w:jc w:val="right"/>
              <w:rPr>
                <w:rFonts w:asciiTheme="minorHAnsi" w:hAnsiTheme="minorHAnsi"/>
                <w:sz w:val="18"/>
                <w:szCs w:val="18"/>
                <w:lang w:val="sr-Latn-RS" w:eastAsia="sr-Latn-RS"/>
              </w:rPr>
            </w:pPr>
            <w:r w:rsidRPr="008A3C49">
              <w:rPr>
                <w:rFonts w:asciiTheme="minorHAnsi" w:hAnsiTheme="minorHAnsi"/>
                <w:b/>
                <w:bCs/>
                <w:sz w:val="18"/>
                <w:szCs w:val="18"/>
                <w:lang w:eastAsia="sr-Latn-RS"/>
              </w:rPr>
              <w:t>56.410.566,91</w:t>
            </w:r>
          </w:p>
        </w:tc>
        <w:tc>
          <w:tcPr>
            <w:tcW w:w="1337" w:type="dxa"/>
            <w:shd w:val="clear" w:color="auto" w:fill="8DB3E2" w:themeFill="text2" w:themeFillTint="66"/>
            <w:noWrap/>
            <w:vAlign w:val="center"/>
            <w:hideMark/>
          </w:tcPr>
          <w:p w14:paraId="5453BFEF" w14:textId="77777777" w:rsidR="008A3C49" w:rsidRPr="008A3C49" w:rsidRDefault="008A3C49" w:rsidP="001538EF">
            <w:pPr>
              <w:jc w:val="center"/>
              <w:rPr>
                <w:rFonts w:asciiTheme="minorHAnsi" w:hAnsiTheme="minorHAnsi"/>
                <w:sz w:val="18"/>
                <w:szCs w:val="18"/>
                <w:lang w:val="sr-Latn-RS" w:eastAsia="sr-Latn-RS"/>
              </w:rPr>
            </w:pPr>
            <w:r w:rsidRPr="008A3C49">
              <w:rPr>
                <w:rFonts w:asciiTheme="minorHAnsi" w:hAnsiTheme="minorHAnsi"/>
                <w:b/>
                <w:bCs/>
                <w:sz w:val="18"/>
                <w:szCs w:val="18"/>
                <w:lang w:eastAsia="sr-Latn-RS"/>
              </w:rPr>
              <w:t>41,79%</w:t>
            </w:r>
          </w:p>
        </w:tc>
      </w:tr>
    </w:tbl>
    <w:p w14:paraId="40FC171C" w14:textId="77777777"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220F6417" w14:textId="77777777" w:rsidR="008A3C49" w:rsidRDefault="008A3C49" w:rsidP="001538EF">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eastAsia="sr-Latn-RS"/>
        </w:rPr>
        <w:t>Na dan 31.12.2023. godine, u okviru kreditnog portfelja ugovorenog sa 4 finansijska posrednika je plasirano 56.410.566,91 KM kreditnih sredstava, odnosno 41,79% ugovorenog iznosa od 135.000.000,00 KM. Ako posmatramo portfelj za obnovljive izvore energije, kreditnu aktivnost je imala samo Procredit bank d.d. Sarajevo, koja je dosad realizovala plasmane u iznosu od 3.175.555,02 KM, odnosno 15,87% ugovorenog iznosa portfolija.</w:t>
      </w:r>
    </w:p>
    <w:p w14:paraId="437F94CE" w14:textId="77777777" w:rsidR="00E037F4" w:rsidRDefault="00E037F4" w:rsidP="001538EF">
      <w:pPr>
        <w:autoSpaceDE w:val="0"/>
        <w:autoSpaceDN w:val="0"/>
        <w:adjustRightInd w:val="0"/>
        <w:rPr>
          <w:rFonts w:asciiTheme="minorHAnsi" w:hAnsiTheme="minorHAnsi"/>
          <w:sz w:val="20"/>
          <w:szCs w:val="20"/>
          <w:lang w:val="sr-Cyrl-BA" w:eastAsia="sr-Latn-RS"/>
        </w:rPr>
      </w:pPr>
    </w:p>
    <w:p w14:paraId="107C837F" w14:textId="77777777" w:rsidR="008A3C49" w:rsidRDefault="008A3C49" w:rsidP="001538EF">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eastAsia="sr-Latn-RS"/>
        </w:rPr>
        <w:t>Ako posmatramo kreditnu aktivnost u okviru opšteg portfelja, dominantnu ulogu ima Procredit banka, koja je do kraja 2023. godine realizovala tri četvrtine ugovorenog iznosa (75,91%). Posmatrajući mjesečnu dinamiku odobravanja kredita od strane ove banke, realno je da će vrlo brzo doći po potpune realizacije ugovorenog iznosa.</w:t>
      </w:r>
    </w:p>
    <w:p w14:paraId="13CD5EC1" w14:textId="77777777" w:rsidR="00E037F4" w:rsidRDefault="00E037F4" w:rsidP="001538EF">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eastAsia="sr-Latn-RS"/>
        </w:rPr>
        <w:t>Stopa realizacije ugovorenog opšteg portfolija Unicredit banke je 38,04%, a ova banka je dosad plasirala 19.022.566,88 KM kredita.Realizacija MF banke ja na nivou od 34,10%, odnosno 3.850.000,00 KM u nominalnom iznosu.</w:t>
      </w:r>
    </w:p>
    <w:p w14:paraId="48B8CDC2" w14:textId="77777777" w:rsidR="008A3C49" w:rsidRPr="005767EF" w:rsidRDefault="008A3C49" w:rsidP="001538EF">
      <w:pPr>
        <w:autoSpaceDE w:val="0"/>
        <w:autoSpaceDN w:val="0"/>
        <w:adjustRightInd w:val="0"/>
        <w:rPr>
          <w:rFonts w:asciiTheme="minorHAnsi" w:hAnsiTheme="minorHAnsi"/>
          <w:sz w:val="20"/>
          <w:szCs w:val="20"/>
          <w:lang w:val="sr-Cyrl-BA" w:eastAsia="sr-Latn-RS"/>
        </w:rPr>
      </w:pPr>
    </w:p>
    <w:p w14:paraId="74BA556E" w14:textId="77777777" w:rsidR="001538EF" w:rsidRDefault="00E037F4" w:rsidP="001538EF">
      <w:pPr>
        <w:autoSpaceDE w:val="0"/>
        <w:autoSpaceDN w:val="0"/>
        <w:adjustRightInd w:val="0"/>
        <w:rPr>
          <w:rFonts w:asciiTheme="minorHAnsi" w:hAnsiTheme="minorHAnsi"/>
          <w:bCs/>
          <w:sz w:val="20"/>
          <w:szCs w:val="20"/>
          <w:lang w:val="sr-Cyrl-BA" w:eastAsia="sr-Latn-RS"/>
        </w:rPr>
      </w:pPr>
      <w:r w:rsidRPr="00E037F4">
        <w:rPr>
          <w:rFonts w:asciiTheme="minorHAnsi" w:hAnsiTheme="minorHAnsi"/>
          <w:bCs/>
          <w:sz w:val="20"/>
          <w:szCs w:val="20"/>
          <w:lang w:eastAsia="sr-Latn-RS"/>
        </w:rPr>
        <w:t>Kako je ranije navedeno, ugovor o garantovanju sa Sparkasse bank d.d. BIH je potpisan krajem 2023. godine i ona do kraja godine nije imala kreditnu aktivnost u okviru ugovorenog portfolija kredita.</w:t>
      </w:r>
    </w:p>
    <w:p w14:paraId="2B6C4184" w14:textId="77777777" w:rsidR="00E037F4" w:rsidRDefault="00E037F4" w:rsidP="001538EF">
      <w:pPr>
        <w:autoSpaceDE w:val="0"/>
        <w:autoSpaceDN w:val="0"/>
        <w:adjustRightInd w:val="0"/>
        <w:rPr>
          <w:rFonts w:asciiTheme="minorHAnsi" w:hAnsiTheme="minorHAnsi"/>
          <w:bCs/>
          <w:sz w:val="20"/>
          <w:szCs w:val="20"/>
          <w:lang w:val="sr-Cyrl-BA" w:eastAsia="sr-Latn-RS"/>
        </w:rPr>
      </w:pPr>
    </w:p>
    <w:p w14:paraId="731A35CC" w14:textId="77777777" w:rsidR="004D360B" w:rsidRDefault="004D360B" w:rsidP="001538EF">
      <w:pPr>
        <w:autoSpaceDE w:val="0"/>
        <w:autoSpaceDN w:val="0"/>
        <w:adjustRightInd w:val="0"/>
        <w:rPr>
          <w:rFonts w:asciiTheme="minorHAnsi" w:hAnsiTheme="minorHAnsi"/>
          <w:bCs/>
          <w:sz w:val="20"/>
          <w:szCs w:val="20"/>
          <w:lang w:val="sr-Cyrl-BA" w:eastAsia="sr-Latn-RS"/>
        </w:rPr>
      </w:pPr>
    </w:p>
    <w:p w14:paraId="4F8ED2F0" w14:textId="77777777" w:rsidR="004D360B" w:rsidRDefault="004D360B" w:rsidP="001538EF">
      <w:pPr>
        <w:autoSpaceDE w:val="0"/>
        <w:autoSpaceDN w:val="0"/>
        <w:adjustRightInd w:val="0"/>
        <w:rPr>
          <w:rFonts w:asciiTheme="minorHAnsi" w:hAnsiTheme="minorHAnsi"/>
          <w:bCs/>
          <w:sz w:val="20"/>
          <w:szCs w:val="20"/>
          <w:lang w:val="sr-Cyrl-BA" w:eastAsia="sr-Latn-RS"/>
        </w:rPr>
      </w:pPr>
    </w:p>
    <w:p w14:paraId="353F1688" w14:textId="77777777" w:rsidR="004D360B" w:rsidRDefault="004D360B" w:rsidP="001538EF">
      <w:pPr>
        <w:autoSpaceDE w:val="0"/>
        <w:autoSpaceDN w:val="0"/>
        <w:adjustRightInd w:val="0"/>
        <w:rPr>
          <w:rFonts w:asciiTheme="minorHAnsi" w:hAnsiTheme="minorHAnsi"/>
          <w:bCs/>
          <w:sz w:val="20"/>
          <w:szCs w:val="20"/>
          <w:lang w:val="sr-Latn-BA" w:eastAsia="sr-Latn-RS"/>
        </w:rPr>
      </w:pPr>
    </w:p>
    <w:p w14:paraId="5C860F6A" w14:textId="77777777" w:rsidR="00356CEC" w:rsidRDefault="00356CEC" w:rsidP="001538EF">
      <w:pPr>
        <w:autoSpaceDE w:val="0"/>
        <w:autoSpaceDN w:val="0"/>
        <w:adjustRightInd w:val="0"/>
        <w:rPr>
          <w:rFonts w:asciiTheme="minorHAnsi" w:hAnsiTheme="minorHAnsi"/>
          <w:bCs/>
          <w:sz w:val="20"/>
          <w:szCs w:val="20"/>
          <w:lang w:val="sr-Latn-BA" w:eastAsia="sr-Latn-RS"/>
        </w:rPr>
      </w:pPr>
    </w:p>
    <w:p w14:paraId="0845B551" w14:textId="77777777" w:rsidR="00356CEC" w:rsidRPr="00356CEC" w:rsidRDefault="00356CEC" w:rsidP="001538EF">
      <w:pPr>
        <w:autoSpaceDE w:val="0"/>
        <w:autoSpaceDN w:val="0"/>
        <w:adjustRightInd w:val="0"/>
        <w:rPr>
          <w:rFonts w:asciiTheme="minorHAnsi" w:hAnsiTheme="minorHAnsi"/>
          <w:bCs/>
          <w:sz w:val="20"/>
          <w:szCs w:val="20"/>
          <w:lang w:val="sr-Latn-BA" w:eastAsia="sr-Latn-RS"/>
        </w:rPr>
      </w:pPr>
    </w:p>
    <w:p w14:paraId="60A0A648" w14:textId="77777777" w:rsidR="00356CEC" w:rsidRDefault="00356CEC" w:rsidP="008A3C49">
      <w:pPr>
        <w:spacing w:after="200" w:line="276" w:lineRule="auto"/>
        <w:jc w:val="center"/>
        <w:rPr>
          <w:rFonts w:asciiTheme="minorHAnsi" w:hAnsiTheme="minorHAnsi"/>
          <w:b/>
          <w:bCs/>
          <w:sz w:val="20"/>
          <w:szCs w:val="20"/>
          <w:lang w:eastAsia="sr-Latn-RS"/>
        </w:rPr>
      </w:pPr>
    </w:p>
    <w:p w14:paraId="505034F9" w14:textId="52F6C998" w:rsidR="001538EF" w:rsidRPr="00BC6981" w:rsidRDefault="001538EF" w:rsidP="008A3C49">
      <w:pPr>
        <w:spacing w:after="200" w:line="276" w:lineRule="auto"/>
        <w:jc w:val="center"/>
        <w:rPr>
          <w:rFonts w:asciiTheme="minorHAnsi" w:hAnsiTheme="minorHAnsi"/>
          <w:b/>
          <w:bCs/>
          <w:sz w:val="20"/>
          <w:szCs w:val="20"/>
          <w:lang w:val="sr-Latn-RS" w:eastAsia="sr-Latn-RS"/>
        </w:rPr>
      </w:pPr>
      <w:r w:rsidRPr="005767EF">
        <w:rPr>
          <w:rFonts w:asciiTheme="minorHAnsi" w:hAnsiTheme="minorHAnsi"/>
          <w:b/>
          <w:bCs/>
          <w:sz w:val="20"/>
          <w:szCs w:val="20"/>
          <w:lang w:eastAsia="sr-Latn-RS"/>
        </w:rPr>
        <w:t>Pregled stanja ugovorenog kreditnog portfelja i maksimalne izloženosti Garantnog fonda Republike Srpske prema finansijskim posrednicima na dan 31.12.2023. godine</w:t>
      </w:r>
    </w:p>
    <w:p w14:paraId="300D1EEE" w14:textId="77777777" w:rsidR="001538EF" w:rsidRPr="005767EF" w:rsidRDefault="001538EF" w:rsidP="001538EF">
      <w:pPr>
        <w:autoSpaceDE w:val="0"/>
        <w:autoSpaceDN w:val="0"/>
        <w:adjustRightInd w:val="0"/>
        <w:rPr>
          <w:rFonts w:asciiTheme="minorHAnsi" w:hAnsiTheme="minorHAnsi"/>
          <w:b/>
          <w:bCs/>
          <w:sz w:val="20"/>
          <w:szCs w:val="20"/>
          <w:lang w:val="sr-Latn-RS" w:eastAsia="sr-Latn-RS"/>
        </w:rPr>
      </w:pPr>
    </w:p>
    <w:p w14:paraId="02686E93" w14:textId="77777777" w:rsidR="001538EF" w:rsidRPr="005767EF" w:rsidRDefault="001538EF" w:rsidP="001538EF">
      <w:pPr>
        <w:autoSpaceDE w:val="0"/>
        <w:autoSpaceDN w:val="0"/>
        <w:adjustRightInd w:val="0"/>
        <w:rPr>
          <w:rFonts w:asciiTheme="minorHAnsi" w:eastAsiaTheme="minorHAnsi" w:hAnsiTheme="minorHAnsi"/>
          <w:color w:val="FF0000"/>
          <w:sz w:val="20"/>
          <w:szCs w:val="20"/>
          <w:lang w:val="sr-Cyrl-BA" w:eastAsia="en-US"/>
        </w:rPr>
      </w:pP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Pr="005767EF">
        <w:rPr>
          <w:rFonts w:asciiTheme="minorHAnsi" w:hAnsiTheme="minorHAnsi"/>
          <w:b/>
          <w:bCs/>
          <w:sz w:val="20"/>
          <w:szCs w:val="20"/>
          <w:lang w:eastAsia="sr-Latn-RS"/>
        </w:rPr>
        <w:tab/>
      </w:r>
      <w:r w:rsidR="00A944C8">
        <w:rPr>
          <w:rFonts w:asciiTheme="minorHAnsi" w:hAnsiTheme="minorHAnsi"/>
          <w:b/>
          <w:bCs/>
          <w:sz w:val="20"/>
          <w:szCs w:val="20"/>
          <w:lang w:eastAsia="sr-Latn-RS"/>
        </w:rPr>
        <w:t>Tabela 14</w:t>
      </w:r>
    </w:p>
    <w:tbl>
      <w:tblPr>
        <w:tblW w:w="8784" w:type="dxa"/>
        <w:tblInd w:w="113" w:type="dxa"/>
        <w:tblLook w:val="04A0" w:firstRow="1" w:lastRow="0" w:firstColumn="1" w:lastColumn="0" w:noHBand="0" w:noVBand="1"/>
      </w:tblPr>
      <w:tblGrid>
        <w:gridCol w:w="2131"/>
        <w:gridCol w:w="1505"/>
        <w:gridCol w:w="1544"/>
        <w:gridCol w:w="1544"/>
        <w:gridCol w:w="2060"/>
      </w:tblGrid>
      <w:tr w:rsidR="004E0037" w:rsidRPr="005767EF" w14:paraId="5B2EAAF1" w14:textId="77777777" w:rsidTr="004E0037">
        <w:trPr>
          <w:trHeight w:val="1080"/>
        </w:trPr>
        <w:tc>
          <w:tcPr>
            <w:tcW w:w="22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B66B645" w14:textId="77777777" w:rsidR="004E0037" w:rsidRPr="0070006A" w:rsidRDefault="004E0037" w:rsidP="001538EF">
            <w:pPr>
              <w:jc w:val="center"/>
              <w:rPr>
                <w:rFonts w:asciiTheme="minorHAnsi" w:hAnsiTheme="minorHAnsi"/>
                <w:b/>
                <w:sz w:val="18"/>
                <w:szCs w:val="18"/>
                <w:lang w:val="sr-Latn-RS" w:eastAsia="sr-Latn-RS"/>
              </w:rPr>
            </w:pPr>
            <w:r w:rsidRPr="0070006A">
              <w:rPr>
                <w:rFonts w:asciiTheme="minorHAnsi" w:hAnsiTheme="minorHAnsi"/>
                <w:b/>
                <w:sz w:val="18"/>
                <w:szCs w:val="18"/>
                <w:lang w:eastAsia="sr-Latn-RS"/>
              </w:rPr>
              <w:t>Finansijski posrednik</w:t>
            </w:r>
          </w:p>
        </w:tc>
        <w:tc>
          <w:tcPr>
            <w:tcW w:w="1253" w:type="dxa"/>
            <w:tcBorders>
              <w:top w:val="single" w:sz="4" w:space="0" w:color="auto"/>
              <w:left w:val="nil"/>
              <w:bottom w:val="single" w:sz="4" w:space="0" w:color="auto"/>
              <w:right w:val="single" w:sz="4" w:space="0" w:color="auto"/>
            </w:tcBorders>
            <w:shd w:val="clear" w:color="auto" w:fill="8DB3E2" w:themeFill="text2" w:themeFillTint="66"/>
          </w:tcPr>
          <w:p w14:paraId="2E6B701A" w14:textId="77777777" w:rsidR="004E0037" w:rsidRDefault="004E0037" w:rsidP="004D360B">
            <w:pPr>
              <w:jc w:val="center"/>
              <w:rPr>
                <w:rFonts w:asciiTheme="minorHAnsi" w:hAnsiTheme="minorHAnsi"/>
                <w:b/>
                <w:sz w:val="18"/>
                <w:szCs w:val="18"/>
                <w:lang w:val="sr-Cyrl-RS" w:eastAsia="sr-Latn-RS"/>
              </w:rPr>
            </w:pPr>
          </w:p>
          <w:p w14:paraId="6AB869BD" w14:textId="77777777" w:rsidR="004E0037" w:rsidRDefault="004E0037" w:rsidP="004D360B">
            <w:pPr>
              <w:jc w:val="center"/>
              <w:rPr>
                <w:rFonts w:asciiTheme="minorHAnsi" w:hAnsiTheme="minorHAnsi"/>
                <w:b/>
                <w:sz w:val="18"/>
                <w:szCs w:val="18"/>
                <w:lang w:val="sr-Cyrl-RS" w:eastAsia="sr-Latn-RS"/>
              </w:rPr>
            </w:pPr>
          </w:p>
          <w:p w14:paraId="3FBD5EC3" w14:textId="77777777" w:rsidR="004E0037" w:rsidRDefault="004E0037" w:rsidP="004D360B">
            <w:pPr>
              <w:jc w:val="center"/>
              <w:rPr>
                <w:rFonts w:asciiTheme="minorHAnsi" w:hAnsiTheme="minorHAnsi"/>
                <w:b/>
                <w:sz w:val="18"/>
                <w:szCs w:val="18"/>
                <w:lang w:val="sr-Cyrl-RS" w:eastAsia="sr-Latn-RS"/>
              </w:rPr>
            </w:pPr>
          </w:p>
          <w:p w14:paraId="5EE93648" w14:textId="77777777" w:rsidR="004E0037" w:rsidRPr="004E0037" w:rsidRDefault="004E0037" w:rsidP="004D360B">
            <w:pPr>
              <w:jc w:val="center"/>
              <w:rPr>
                <w:rFonts w:asciiTheme="minorHAnsi" w:hAnsiTheme="minorHAnsi"/>
                <w:b/>
                <w:sz w:val="18"/>
                <w:szCs w:val="18"/>
                <w:lang w:val="sr-Cyrl-RS" w:eastAsia="sr-Latn-RS"/>
              </w:rPr>
            </w:pPr>
            <w:r>
              <w:rPr>
                <w:rFonts w:asciiTheme="minorHAnsi" w:hAnsiTheme="minorHAnsi"/>
                <w:b/>
                <w:sz w:val="18"/>
                <w:szCs w:val="18"/>
                <w:lang w:eastAsia="sr-Latn-RS"/>
              </w:rPr>
              <w:t>Broj aktivnih kredita/garancija</w:t>
            </w:r>
          </w:p>
        </w:tc>
        <w:tc>
          <w:tcPr>
            <w:tcW w:w="157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3D44106" w14:textId="77777777" w:rsidR="004E0037" w:rsidRPr="0070006A" w:rsidRDefault="004E0037" w:rsidP="004D360B">
            <w:pPr>
              <w:jc w:val="center"/>
              <w:rPr>
                <w:rFonts w:asciiTheme="minorHAnsi" w:hAnsiTheme="minorHAnsi"/>
                <w:b/>
                <w:sz w:val="18"/>
                <w:szCs w:val="18"/>
                <w:lang w:val="sr-Cyrl-RS" w:eastAsia="sr-Latn-RS"/>
              </w:rPr>
            </w:pPr>
            <w:r w:rsidRPr="0070006A">
              <w:rPr>
                <w:rFonts w:asciiTheme="minorHAnsi" w:hAnsiTheme="minorHAnsi"/>
                <w:b/>
                <w:sz w:val="18"/>
                <w:szCs w:val="18"/>
                <w:lang w:eastAsia="sr-Latn-RS"/>
              </w:rPr>
              <w:t>Stanje kredita na dan 31.12.2023. godine</w:t>
            </w:r>
          </w:p>
        </w:tc>
        <w:tc>
          <w:tcPr>
            <w:tcW w:w="157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70CF46FD" w14:textId="77777777" w:rsidR="004E0037" w:rsidRPr="0070006A" w:rsidRDefault="004E0037" w:rsidP="001538EF">
            <w:pPr>
              <w:jc w:val="center"/>
              <w:rPr>
                <w:rFonts w:asciiTheme="minorHAnsi" w:hAnsiTheme="minorHAnsi"/>
                <w:b/>
                <w:sz w:val="18"/>
                <w:szCs w:val="18"/>
                <w:lang w:val="sr-Cyrl-RS" w:eastAsia="sr-Latn-RS"/>
              </w:rPr>
            </w:pPr>
            <w:r>
              <w:rPr>
                <w:rFonts w:asciiTheme="minorHAnsi" w:hAnsiTheme="minorHAnsi"/>
                <w:b/>
                <w:sz w:val="18"/>
                <w:szCs w:val="18"/>
                <w:lang w:eastAsia="sr-Latn-RS"/>
              </w:rPr>
              <w:t>Stanje garancija na dan 31.12.2023. godine</w:t>
            </w:r>
          </w:p>
        </w:tc>
        <w:tc>
          <w:tcPr>
            <w:tcW w:w="214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5AE34082" w14:textId="77777777" w:rsidR="004E0037" w:rsidRPr="0070006A" w:rsidRDefault="004E0037" w:rsidP="004D360B">
            <w:pPr>
              <w:jc w:val="center"/>
              <w:rPr>
                <w:rFonts w:asciiTheme="minorHAnsi" w:hAnsiTheme="minorHAnsi"/>
                <w:b/>
                <w:sz w:val="18"/>
                <w:szCs w:val="18"/>
                <w:lang w:val="sr-Cyrl-RS" w:eastAsia="sr-Latn-RS"/>
              </w:rPr>
            </w:pPr>
            <w:r w:rsidRPr="0070006A">
              <w:rPr>
                <w:rFonts w:asciiTheme="minorHAnsi" w:hAnsiTheme="minorHAnsi"/>
                <w:b/>
                <w:sz w:val="18"/>
                <w:szCs w:val="18"/>
                <w:lang w:eastAsia="sr-Latn-RS"/>
              </w:rPr>
              <w:t>Maksimalni dozvoljeni iznos garancije (uz maksimalnu stopu pokrića od 25% na stanje kredita) na dan 31.12.2023.</w:t>
            </w:r>
          </w:p>
        </w:tc>
      </w:tr>
      <w:tr w:rsidR="004E0037" w:rsidRPr="005767EF" w14:paraId="4E0073E1" w14:textId="77777777" w:rsidTr="00937B34">
        <w:trPr>
          <w:trHeight w:val="222"/>
        </w:trPr>
        <w:tc>
          <w:tcPr>
            <w:tcW w:w="2243" w:type="dxa"/>
            <w:tcBorders>
              <w:top w:val="nil"/>
              <w:left w:val="single" w:sz="4" w:space="0" w:color="auto"/>
              <w:bottom w:val="single" w:sz="4" w:space="0" w:color="auto"/>
              <w:right w:val="single" w:sz="4" w:space="0" w:color="auto"/>
            </w:tcBorders>
            <w:shd w:val="clear" w:color="auto" w:fill="auto"/>
            <w:vAlign w:val="center"/>
            <w:hideMark/>
          </w:tcPr>
          <w:p w14:paraId="2860D916" w14:textId="77777777" w:rsidR="004E0037" w:rsidRPr="0070006A" w:rsidRDefault="004E0037" w:rsidP="001538EF">
            <w:pPr>
              <w:jc w:val="left"/>
              <w:rPr>
                <w:rFonts w:asciiTheme="minorHAnsi" w:hAnsiTheme="minorHAnsi"/>
                <w:caps/>
                <w:sz w:val="18"/>
                <w:szCs w:val="18"/>
                <w:lang w:val="sr-Latn-RS" w:eastAsia="sr-Latn-RS"/>
              </w:rPr>
            </w:pPr>
            <w:r w:rsidRPr="0070006A">
              <w:rPr>
                <w:rFonts w:asciiTheme="minorHAnsi" w:hAnsiTheme="minorHAnsi"/>
                <w:sz w:val="18"/>
                <w:szCs w:val="18"/>
                <w:lang w:eastAsia="sr-Latn-RS"/>
              </w:rPr>
              <w:t>Procredit bank d.d. Sarajevo</w:t>
            </w:r>
          </w:p>
        </w:tc>
        <w:tc>
          <w:tcPr>
            <w:tcW w:w="1253" w:type="dxa"/>
            <w:tcBorders>
              <w:top w:val="single" w:sz="4" w:space="0" w:color="auto"/>
              <w:left w:val="nil"/>
              <w:bottom w:val="single" w:sz="4" w:space="0" w:color="auto"/>
              <w:right w:val="single" w:sz="4" w:space="0" w:color="auto"/>
            </w:tcBorders>
            <w:vAlign w:val="center"/>
          </w:tcPr>
          <w:p w14:paraId="2674EC4C" w14:textId="77777777" w:rsidR="004E0037" w:rsidRPr="0070006A" w:rsidRDefault="00937B34" w:rsidP="00937B34">
            <w:pPr>
              <w:jc w:val="center"/>
              <w:rPr>
                <w:rFonts w:asciiTheme="minorHAnsi" w:hAnsiTheme="minorHAnsi"/>
                <w:sz w:val="18"/>
                <w:szCs w:val="18"/>
                <w:lang w:val="sr-Cyrl-RS" w:eastAsia="sr-Latn-RS"/>
              </w:rPr>
            </w:pPr>
            <w:r>
              <w:rPr>
                <w:rFonts w:asciiTheme="minorHAnsi" w:hAnsiTheme="minorHAnsi"/>
                <w:sz w:val="18"/>
                <w:szCs w:val="18"/>
                <w:lang w:eastAsia="sr-Latn-RS"/>
              </w:rPr>
              <w:t>120</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9E823"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eastAsia="sr-Latn-RS"/>
              </w:rPr>
              <w:t>26.417.597,89</w:t>
            </w:r>
          </w:p>
        </w:tc>
        <w:tc>
          <w:tcPr>
            <w:tcW w:w="1571" w:type="dxa"/>
            <w:tcBorders>
              <w:top w:val="nil"/>
              <w:left w:val="nil"/>
              <w:bottom w:val="single" w:sz="4" w:space="0" w:color="auto"/>
              <w:right w:val="single" w:sz="4" w:space="0" w:color="auto"/>
            </w:tcBorders>
            <w:shd w:val="clear" w:color="auto" w:fill="auto"/>
            <w:vAlign w:val="center"/>
            <w:hideMark/>
          </w:tcPr>
          <w:p w14:paraId="216B8053"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eastAsia="sr-Latn-RS"/>
              </w:rPr>
              <w:t>13.208.798,94</w:t>
            </w:r>
          </w:p>
        </w:tc>
        <w:tc>
          <w:tcPr>
            <w:tcW w:w="2146" w:type="dxa"/>
            <w:tcBorders>
              <w:top w:val="nil"/>
              <w:left w:val="nil"/>
              <w:bottom w:val="single" w:sz="4" w:space="0" w:color="auto"/>
              <w:right w:val="single" w:sz="4" w:space="0" w:color="auto"/>
            </w:tcBorders>
            <w:shd w:val="clear" w:color="auto" w:fill="auto"/>
            <w:vAlign w:val="center"/>
            <w:hideMark/>
          </w:tcPr>
          <w:p w14:paraId="3426C280" w14:textId="77777777" w:rsidR="004E0037" w:rsidRPr="0070006A" w:rsidRDefault="004E0037">
            <w:pPr>
              <w:jc w:val="right"/>
              <w:rPr>
                <w:rFonts w:asciiTheme="minorHAnsi" w:hAnsiTheme="minorHAnsi"/>
                <w:sz w:val="18"/>
                <w:szCs w:val="18"/>
              </w:rPr>
            </w:pPr>
            <w:r w:rsidRPr="0070006A">
              <w:rPr>
                <w:rFonts w:asciiTheme="minorHAnsi" w:hAnsiTheme="minorHAnsi"/>
                <w:sz w:val="18"/>
                <w:szCs w:val="18"/>
              </w:rPr>
              <w:t>6.604.399,47</w:t>
            </w:r>
          </w:p>
        </w:tc>
      </w:tr>
      <w:tr w:rsidR="004E0037" w:rsidRPr="005767EF" w14:paraId="32C5915E" w14:textId="77777777" w:rsidTr="00937B34">
        <w:trPr>
          <w:trHeight w:val="222"/>
        </w:trPr>
        <w:tc>
          <w:tcPr>
            <w:tcW w:w="2243" w:type="dxa"/>
            <w:tcBorders>
              <w:top w:val="nil"/>
              <w:left w:val="single" w:sz="4" w:space="0" w:color="auto"/>
              <w:bottom w:val="single" w:sz="4" w:space="0" w:color="auto"/>
              <w:right w:val="single" w:sz="4" w:space="0" w:color="auto"/>
            </w:tcBorders>
            <w:shd w:val="clear" w:color="auto" w:fill="auto"/>
            <w:vAlign w:val="center"/>
            <w:hideMark/>
          </w:tcPr>
          <w:p w14:paraId="026A4E3E" w14:textId="77777777" w:rsidR="004E0037" w:rsidRPr="0070006A" w:rsidRDefault="004E0037" w:rsidP="001538EF">
            <w:pPr>
              <w:jc w:val="left"/>
              <w:rPr>
                <w:rFonts w:asciiTheme="minorHAnsi" w:hAnsiTheme="minorHAnsi"/>
                <w:caps/>
                <w:sz w:val="18"/>
                <w:szCs w:val="18"/>
                <w:lang w:val="sr-Latn-RS" w:eastAsia="sr-Latn-RS"/>
              </w:rPr>
            </w:pPr>
            <w:r w:rsidRPr="0070006A">
              <w:rPr>
                <w:rFonts w:asciiTheme="minorHAnsi" w:hAnsiTheme="minorHAnsi"/>
                <w:sz w:val="18"/>
                <w:szCs w:val="18"/>
                <w:lang w:eastAsia="sr-Latn-RS"/>
              </w:rPr>
              <w:t>Unicredit bank a.d. Banja Luka</w:t>
            </w:r>
          </w:p>
        </w:tc>
        <w:tc>
          <w:tcPr>
            <w:tcW w:w="1253" w:type="dxa"/>
            <w:tcBorders>
              <w:top w:val="single" w:sz="4" w:space="0" w:color="auto"/>
              <w:left w:val="nil"/>
              <w:bottom w:val="single" w:sz="4" w:space="0" w:color="auto"/>
              <w:right w:val="single" w:sz="4" w:space="0" w:color="auto"/>
            </w:tcBorders>
            <w:vAlign w:val="center"/>
          </w:tcPr>
          <w:p w14:paraId="43484949" w14:textId="77777777" w:rsidR="004E0037" w:rsidRPr="0070006A" w:rsidRDefault="00937B34" w:rsidP="00937B34">
            <w:pPr>
              <w:jc w:val="center"/>
              <w:rPr>
                <w:rFonts w:asciiTheme="minorHAnsi" w:hAnsiTheme="minorHAnsi"/>
                <w:sz w:val="18"/>
                <w:szCs w:val="18"/>
                <w:lang w:val="sr-Cyrl-RS" w:eastAsia="sr-Latn-RS"/>
              </w:rPr>
            </w:pPr>
            <w:r>
              <w:rPr>
                <w:rFonts w:asciiTheme="minorHAnsi" w:hAnsiTheme="minorHAnsi"/>
                <w:sz w:val="18"/>
                <w:szCs w:val="18"/>
                <w:lang w:eastAsia="sr-Latn-RS"/>
              </w:rPr>
              <w:t>59</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0482B"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eastAsia="sr-Latn-RS"/>
              </w:rPr>
              <w:t>6.570.559,68</w:t>
            </w:r>
          </w:p>
        </w:tc>
        <w:tc>
          <w:tcPr>
            <w:tcW w:w="1571" w:type="dxa"/>
            <w:tcBorders>
              <w:top w:val="nil"/>
              <w:left w:val="nil"/>
              <w:bottom w:val="single" w:sz="4" w:space="0" w:color="auto"/>
              <w:right w:val="single" w:sz="4" w:space="0" w:color="auto"/>
            </w:tcBorders>
            <w:shd w:val="clear" w:color="auto" w:fill="auto"/>
            <w:vAlign w:val="center"/>
            <w:hideMark/>
          </w:tcPr>
          <w:p w14:paraId="224D7184"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eastAsia="sr-Latn-RS"/>
              </w:rPr>
              <w:t>3.285.279,84</w:t>
            </w:r>
          </w:p>
        </w:tc>
        <w:tc>
          <w:tcPr>
            <w:tcW w:w="2146" w:type="dxa"/>
            <w:tcBorders>
              <w:top w:val="nil"/>
              <w:left w:val="nil"/>
              <w:bottom w:val="single" w:sz="4" w:space="0" w:color="auto"/>
              <w:right w:val="single" w:sz="4" w:space="0" w:color="auto"/>
            </w:tcBorders>
            <w:shd w:val="clear" w:color="auto" w:fill="auto"/>
            <w:vAlign w:val="center"/>
            <w:hideMark/>
          </w:tcPr>
          <w:p w14:paraId="10088AE8" w14:textId="77777777" w:rsidR="004E0037" w:rsidRPr="0070006A" w:rsidRDefault="004E0037">
            <w:pPr>
              <w:jc w:val="right"/>
              <w:rPr>
                <w:rFonts w:asciiTheme="minorHAnsi" w:hAnsiTheme="minorHAnsi"/>
                <w:sz w:val="18"/>
                <w:szCs w:val="18"/>
              </w:rPr>
            </w:pPr>
            <w:r w:rsidRPr="0070006A">
              <w:rPr>
                <w:rFonts w:asciiTheme="minorHAnsi" w:hAnsiTheme="minorHAnsi"/>
                <w:sz w:val="18"/>
                <w:szCs w:val="18"/>
              </w:rPr>
              <w:t>1.642.639,92</w:t>
            </w:r>
          </w:p>
        </w:tc>
      </w:tr>
      <w:tr w:rsidR="004E0037" w:rsidRPr="005767EF" w14:paraId="4EC29B0A" w14:textId="77777777" w:rsidTr="00937B34">
        <w:trPr>
          <w:trHeight w:val="222"/>
        </w:trPr>
        <w:tc>
          <w:tcPr>
            <w:tcW w:w="2243" w:type="dxa"/>
            <w:tcBorders>
              <w:top w:val="nil"/>
              <w:left w:val="single" w:sz="4" w:space="0" w:color="auto"/>
              <w:bottom w:val="single" w:sz="4" w:space="0" w:color="auto"/>
              <w:right w:val="single" w:sz="4" w:space="0" w:color="auto"/>
            </w:tcBorders>
            <w:shd w:val="clear" w:color="auto" w:fill="auto"/>
            <w:vAlign w:val="center"/>
            <w:hideMark/>
          </w:tcPr>
          <w:p w14:paraId="606687A2" w14:textId="77777777" w:rsidR="004E0037" w:rsidRPr="0070006A" w:rsidRDefault="004E0037" w:rsidP="001538EF">
            <w:pPr>
              <w:jc w:val="left"/>
              <w:rPr>
                <w:rFonts w:asciiTheme="minorHAnsi" w:hAnsiTheme="minorHAnsi"/>
                <w:caps/>
                <w:sz w:val="18"/>
                <w:szCs w:val="18"/>
                <w:lang w:val="sr-Latn-RS" w:eastAsia="sr-Latn-RS"/>
              </w:rPr>
            </w:pPr>
            <w:r>
              <w:rPr>
                <w:rFonts w:asciiTheme="minorHAnsi" w:hAnsiTheme="minorHAnsi"/>
                <w:sz w:val="18"/>
                <w:szCs w:val="18"/>
                <w:lang w:eastAsia="sr-Latn-RS"/>
              </w:rPr>
              <w:t>MF Banka a.d. Banja Luka</w:t>
            </w:r>
          </w:p>
        </w:tc>
        <w:tc>
          <w:tcPr>
            <w:tcW w:w="1253" w:type="dxa"/>
            <w:tcBorders>
              <w:top w:val="single" w:sz="4" w:space="0" w:color="auto"/>
              <w:left w:val="nil"/>
              <w:bottom w:val="single" w:sz="4" w:space="0" w:color="auto"/>
              <w:right w:val="single" w:sz="4" w:space="0" w:color="auto"/>
            </w:tcBorders>
            <w:vAlign w:val="center"/>
          </w:tcPr>
          <w:p w14:paraId="586E2C70" w14:textId="77777777" w:rsidR="004E0037" w:rsidRPr="0070006A" w:rsidRDefault="00937B34" w:rsidP="00937B34">
            <w:pPr>
              <w:jc w:val="center"/>
              <w:rPr>
                <w:rFonts w:asciiTheme="minorHAnsi" w:hAnsiTheme="minorHAnsi"/>
                <w:sz w:val="18"/>
                <w:szCs w:val="18"/>
                <w:lang w:val="sr-Cyrl-RS" w:eastAsia="sr-Latn-RS"/>
              </w:rPr>
            </w:pPr>
            <w:r>
              <w:rPr>
                <w:rFonts w:asciiTheme="minorHAnsi" w:hAnsiTheme="minorHAnsi"/>
                <w:sz w:val="18"/>
                <w:szCs w:val="18"/>
                <w:lang w:eastAsia="sr-Latn-RS"/>
              </w:rPr>
              <w:t>25</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BB5AF"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eastAsia="sr-Latn-RS"/>
              </w:rPr>
              <w:t>2.375.310,98</w:t>
            </w:r>
          </w:p>
        </w:tc>
        <w:tc>
          <w:tcPr>
            <w:tcW w:w="1571" w:type="dxa"/>
            <w:tcBorders>
              <w:top w:val="nil"/>
              <w:left w:val="nil"/>
              <w:bottom w:val="single" w:sz="4" w:space="0" w:color="auto"/>
              <w:right w:val="single" w:sz="4" w:space="0" w:color="auto"/>
            </w:tcBorders>
            <w:shd w:val="clear" w:color="auto" w:fill="auto"/>
            <w:vAlign w:val="center"/>
            <w:hideMark/>
          </w:tcPr>
          <w:p w14:paraId="7765AAC0" w14:textId="77777777" w:rsidR="004E0037" w:rsidRPr="0070006A" w:rsidRDefault="004E0037" w:rsidP="001538EF">
            <w:pPr>
              <w:jc w:val="right"/>
              <w:rPr>
                <w:rFonts w:asciiTheme="minorHAnsi" w:hAnsiTheme="minorHAnsi"/>
                <w:sz w:val="18"/>
                <w:szCs w:val="18"/>
                <w:lang w:val="sr-Cyrl-RS" w:eastAsia="sr-Latn-RS"/>
              </w:rPr>
            </w:pPr>
            <w:r w:rsidRPr="0070006A">
              <w:rPr>
                <w:rFonts w:asciiTheme="minorHAnsi" w:hAnsiTheme="minorHAnsi"/>
                <w:sz w:val="18"/>
                <w:szCs w:val="18"/>
                <w:lang w:eastAsia="sr-Latn-RS"/>
              </w:rPr>
              <w:t>1.187.642,81</w:t>
            </w:r>
          </w:p>
        </w:tc>
        <w:tc>
          <w:tcPr>
            <w:tcW w:w="2146" w:type="dxa"/>
            <w:tcBorders>
              <w:top w:val="nil"/>
              <w:left w:val="nil"/>
              <w:bottom w:val="single" w:sz="4" w:space="0" w:color="auto"/>
              <w:right w:val="single" w:sz="4" w:space="0" w:color="auto"/>
            </w:tcBorders>
            <w:shd w:val="clear" w:color="auto" w:fill="auto"/>
            <w:vAlign w:val="center"/>
            <w:hideMark/>
          </w:tcPr>
          <w:p w14:paraId="12548017" w14:textId="77777777" w:rsidR="004E0037" w:rsidRPr="0070006A" w:rsidRDefault="004E0037">
            <w:pPr>
              <w:jc w:val="right"/>
              <w:rPr>
                <w:rFonts w:asciiTheme="minorHAnsi" w:hAnsiTheme="minorHAnsi"/>
                <w:sz w:val="18"/>
                <w:szCs w:val="18"/>
              </w:rPr>
            </w:pPr>
            <w:r w:rsidRPr="0070006A">
              <w:rPr>
                <w:rFonts w:asciiTheme="minorHAnsi" w:hAnsiTheme="minorHAnsi"/>
                <w:sz w:val="18"/>
                <w:szCs w:val="18"/>
              </w:rPr>
              <w:t>593.827,75</w:t>
            </w:r>
          </w:p>
        </w:tc>
      </w:tr>
      <w:tr w:rsidR="004E0037" w:rsidRPr="005767EF" w14:paraId="2B8F33CE" w14:textId="77777777" w:rsidTr="004E0037">
        <w:trPr>
          <w:trHeight w:val="249"/>
        </w:trPr>
        <w:tc>
          <w:tcPr>
            <w:tcW w:w="22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AC2C0AD" w14:textId="43EFEDA3" w:rsidR="004E0037" w:rsidRPr="00B769DD" w:rsidRDefault="008D526C" w:rsidP="001538EF">
            <w:pPr>
              <w:jc w:val="left"/>
              <w:rPr>
                <w:rFonts w:asciiTheme="minorHAnsi" w:hAnsiTheme="minorHAnsi"/>
                <w:b/>
                <w:bCs/>
                <w:color w:val="auto"/>
                <w:sz w:val="18"/>
                <w:szCs w:val="18"/>
                <w:lang w:val="sr-Cyrl-RS" w:eastAsia="sr-Latn-RS"/>
              </w:rPr>
            </w:pPr>
            <w:r>
              <w:rPr>
                <w:rFonts w:asciiTheme="minorHAnsi" w:hAnsiTheme="minorHAnsi"/>
                <w:b/>
                <w:bCs/>
                <w:color w:val="auto"/>
                <w:sz w:val="18"/>
                <w:szCs w:val="18"/>
                <w:lang w:val="sr-Cyrl-RS" w:eastAsia="sr-Latn-RS"/>
              </w:rPr>
              <w:t>UKUPNO</w:t>
            </w:r>
          </w:p>
        </w:tc>
        <w:tc>
          <w:tcPr>
            <w:tcW w:w="1253" w:type="dxa"/>
            <w:tcBorders>
              <w:top w:val="single" w:sz="4" w:space="0" w:color="auto"/>
              <w:left w:val="nil"/>
              <w:bottom w:val="single" w:sz="4" w:space="0" w:color="auto"/>
              <w:right w:val="single" w:sz="4" w:space="0" w:color="auto"/>
            </w:tcBorders>
            <w:shd w:val="clear" w:color="auto" w:fill="8DB3E2" w:themeFill="text2" w:themeFillTint="66"/>
          </w:tcPr>
          <w:p w14:paraId="3C6671DB" w14:textId="77777777" w:rsidR="004E0037" w:rsidRPr="004E0037" w:rsidRDefault="004E0037" w:rsidP="004E0037">
            <w:pPr>
              <w:jc w:val="center"/>
              <w:rPr>
                <w:rFonts w:asciiTheme="minorHAnsi" w:hAnsiTheme="minorHAnsi"/>
                <w:b/>
                <w:sz w:val="18"/>
                <w:szCs w:val="18"/>
                <w:lang w:val="sr-Cyrl-RS"/>
              </w:rPr>
            </w:pPr>
            <w:r>
              <w:rPr>
                <w:rFonts w:asciiTheme="minorHAnsi" w:hAnsiTheme="minorHAnsi"/>
                <w:b/>
                <w:sz w:val="18"/>
                <w:szCs w:val="18"/>
              </w:rPr>
              <w:t>204</w:t>
            </w:r>
          </w:p>
        </w:tc>
        <w:tc>
          <w:tcPr>
            <w:tcW w:w="157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12AC390" w14:textId="77777777" w:rsidR="004E0037" w:rsidRPr="00B769DD" w:rsidRDefault="004E0037">
            <w:pPr>
              <w:jc w:val="right"/>
              <w:rPr>
                <w:rFonts w:asciiTheme="minorHAnsi" w:hAnsiTheme="minorHAnsi"/>
                <w:b/>
                <w:sz w:val="18"/>
                <w:szCs w:val="18"/>
              </w:rPr>
            </w:pPr>
            <w:r w:rsidRPr="00B769DD">
              <w:rPr>
                <w:rFonts w:asciiTheme="minorHAnsi" w:hAnsiTheme="minorHAnsi"/>
                <w:b/>
                <w:sz w:val="18"/>
                <w:szCs w:val="18"/>
              </w:rPr>
              <w:t>35.363.468,55</w:t>
            </w:r>
          </w:p>
        </w:tc>
        <w:tc>
          <w:tcPr>
            <w:tcW w:w="1571" w:type="dxa"/>
            <w:tcBorders>
              <w:top w:val="nil"/>
              <w:left w:val="nil"/>
              <w:bottom w:val="single" w:sz="4" w:space="0" w:color="auto"/>
              <w:right w:val="single" w:sz="4" w:space="0" w:color="auto"/>
            </w:tcBorders>
            <w:shd w:val="clear" w:color="auto" w:fill="8DB3E2" w:themeFill="text2" w:themeFillTint="66"/>
            <w:vAlign w:val="center"/>
            <w:hideMark/>
          </w:tcPr>
          <w:p w14:paraId="209D3F76" w14:textId="77777777" w:rsidR="004E0037" w:rsidRPr="00B769DD" w:rsidRDefault="004E0037">
            <w:pPr>
              <w:jc w:val="right"/>
              <w:rPr>
                <w:rFonts w:asciiTheme="minorHAnsi" w:hAnsiTheme="minorHAnsi"/>
                <w:b/>
                <w:sz w:val="18"/>
                <w:szCs w:val="18"/>
              </w:rPr>
            </w:pPr>
            <w:r w:rsidRPr="00B769DD">
              <w:rPr>
                <w:rFonts w:asciiTheme="minorHAnsi" w:hAnsiTheme="minorHAnsi"/>
                <w:b/>
                <w:sz w:val="18"/>
                <w:szCs w:val="18"/>
              </w:rPr>
              <w:t>17.681.721,59</w:t>
            </w:r>
          </w:p>
        </w:tc>
        <w:tc>
          <w:tcPr>
            <w:tcW w:w="2146" w:type="dxa"/>
            <w:tcBorders>
              <w:top w:val="nil"/>
              <w:left w:val="nil"/>
              <w:bottom w:val="single" w:sz="4" w:space="0" w:color="auto"/>
              <w:right w:val="single" w:sz="4" w:space="0" w:color="auto"/>
            </w:tcBorders>
            <w:shd w:val="clear" w:color="auto" w:fill="8DB3E2" w:themeFill="text2" w:themeFillTint="66"/>
            <w:vAlign w:val="center"/>
            <w:hideMark/>
          </w:tcPr>
          <w:p w14:paraId="4B9844AB" w14:textId="77777777" w:rsidR="004E0037" w:rsidRPr="00B769DD" w:rsidRDefault="004E0037">
            <w:pPr>
              <w:jc w:val="right"/>
              <w:rPr>
                <w:rFonts w:asciiTheme="minorHAnsi" w:hAnsiTheme="minorHAnsi"/>
                <w:b/>
                <w:sz w:val="18"/>
                <w:szCs w:val="18"/>
              </w:rPr>
            </w:pPr>
            <w:r w:rsidRPr="00B769DD">
              <w:rPr>
                <w:rFonts w:asciiTheme="minorHAnsi" w:hAnsiTheme="minorHAnsi"/>
                <w:b/>
                <w:sz w:val="18"/>
                <w:szCs w:val="18"/>
              </w:rPr>
              <w:t>8.840.867,14</w:t>
            </w:r>
          </w:p>
        </w:tc>
      </w:tr>
    </w:tbl>
    <w:p w14:paraId="2FC33DF4" w14:textId="77777777" w:rsidR="001538EF" w:rsidRPr="005767EF" w:rsidRDefault="001538EF" w:rsidP="001538EF">
      <w:pPr>
        <w:autoSpaceDE w:val="0"/>
        <w:autoSpaceDN w:val="0"/>
        <w:adjustRightInd w:val="0"/>
        <w:rPr>
          <w:rFonts w:asciiTheme="minorHAnsi" w:eastAsiaTheme="minorHAnsi" w:hAnsiTheme="minorHAnsi"/>
          <w:color w:val="FF0000"/>
          <w:sz w:val="20"/>
          <w:szCs w:val="20"/>
          <w:lang w:val="sr-Cyrl-BA" w:eastAsia="en-US"/>
        </w:rPr>
      </w:pPr>
    </w:p>
    <w:p w14:paraId="702C847E" w14:textId="77777777" w:rsidR="001538EF" w:rsidRPr="005767EF" w:rsidRDefault="001538EF" w:rsidP="001538EF">
      <w:pPr>
        <w:autoSpaceDE w:val="0"/>
        <w:autoSpaceDN w:val="0"/>
        <w:adjustRightInd w:val="0"/>
        <w:rPr>
          <w:rFonts w:asciiTheme="minorHAnsi" w:eastAsiaTheme="minorHAnsi" w:hAnsiTheme="minorHAnsi"/>
          <w:b/>
          <w:color w:val="auto"/>
          <w:sz w:val="20"/>
          <w:szCs w:val="20"/>
          <w:lang w:val="sr-Cyrl-BA" w:eastAsia="en-US"/>
        </w:rPr>
      </w:pPr>
    </w:p>
    <w:p w14:paraId="76E3C138" w14:textId="77777777" w:rsidR="00254480" w:rsidRDefault="002801CF"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Od 237 ukupno plasiranih kredita u okviru kreditnog portfolija, na dan 31.12.2023. godine su aktivna 204 kredita čije stanje iznosi 35.363.468,55 KM. Stanje pripadajućih garancija je 17.681.721,59 KM. Stanje garancija u okviru opšteg portfolija iznosi 16.109.934,21 KM, dok je stanje portfolija za energetsku efikasnost 1.571.787,38 KM.</w:t>
      </w:r>
    </w:p>
    <w:p w14:paraId="1A786D78" w14:textId="77777777" w:rsidR="00937B34" w:rsidRDefault="00937B34" w:rsidP="001538EF">
      <w:pPr>
        <w:pStyle w:val="Default"/>
        <w:jc w:val="both"/>
        <w:rPr>
          <w:rFonts w:asciiTheme="minorHAnsi" w:hAnsiTheme="minorHAnsi" w:cs="Times New Roman"/>
          <w:color w:val="auto"/>
          <w:sz w:val="20"/>
          <w:szCs w:val="20"/>
          <w:lang w:val="sr-Cyrl-BA"/>
        </w:rPr>
      </w:pPr>
    </w:p>
    <w:p w14:paraId="190C4C45" w14:textId="77777777" w:rsidR="00937B34" w:rsidRDefault="00937B34"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Najviše aktivnih kredita čini portfolio Procredit bank d.d. Sarajevo, ukupno 120 kredita čije je stanje 26.417.597,89 KM. Stanje pripradajućih garancija je 13.208.798,94 KM. Portfolio Unicredit bank a.d. Banja Luka čini 59 kredita čije je stanje na dan 31.12.2023. godine 6.570.559,68 KM. Na trećem mjestu je MF banka a.d. Banja Luka, čiji portfolio čini 25 aktivnih kredita u iznosu od 1.187.642,81 KM.</w:t>
      </w:r>
    </w:p>
    <w:p w14:paraId="07D6A4F9" w14:textId="77777777" w:rsidR="00254480" w:rsidRDefault="00254480" w:rsidP="001538EF">
      <w:pPr>
        <w:pStyle w:val="Default"/>
        <w:jc w:val="both"/>
        <w:rPr>
          <w:rFonts w:asciiTheme="minorHAnsi" w:hAnsiTheme="minorHAnsi" w:cs="Times New Roman"/>
          <w:color w:val="auto"/>
          <w:sz w:val="20"/>
          <w:szCs w:val="20"/>
          <w:lang w:val="sr-Cyrl-BA"/>
        </w:rPr>
      </w:pPr>
    </w:p>
    <w:p w14:paraId="508396E2" w14:textId="77777777" w:rsidR="007460B5" w:rsidRDefault="002801CF" w:rsidP="001538EF">
      <w:pPr>
        <w:pStyle w:val="Default"/>
        <w:jc w:val="both"/>
        <w:rPr>
          <w:rFonts w:asciiTheme="minorHAnsi" w:hAnsiTheme="minorHAnsi"/>
          <w:color w:val="auto"/>
          <w:sz w:val="20"/>
          <w:szCs w:val="20"/>
          <w:lang w:val="sr-Cyrl-BA"/>
        </w:rPr>
      </w:pPr>
      <w:r w:rsidRPr="007460B5">
        <w:rPr>
          <w:rFonts w:asciiTheme="minorHAnsi" w:hAnsiTheme="minorHAnsi"/>
          <w:color w:val="auto"/>
          <w:sz w:val="20"/>
          <w:szCs w:val="20"/>
        </w:rPr>
        <w:t>Van snage po osnovu prijevremene otplate kredita ili redovnog isteka su dosad stavljene 32 garancije. Protestovana je i plaćena samo jedna garancija u iznosu od 32.499,79 KM, a zahtjev za plaćanje je podnesen od strane MF banke a.d. Banja Luka u decembru 2023. godine.</w:t>
      </w:r>
    </w:p>
    <w:p w14:paraId="63403F4E" w14:textId="77777777" w:rsidR="007460B5" w:rsidRDefault="007460B5" w:rsidP="001538EF">
      <w:pPr>
        <w:pStyle w:val="Default"/>
        <w:jc w:val="both"/>
        <w:rPr>
          <w:rFonts w:asciiTheme="minorHAnsi" w:hAnsiTheme="minorHAnsi" w:cs="Times New Roman"/>
          <w:color w:val="auto"/>
          <w:sz w:val="20"/>
          <w:szCs w:val="20"/>
          <w:lang w:val="sr-Cyrl-BA"/>
        </w:rPr>
      </w:pPr>
    </w:p>
    <w:p w14:paraId="32C9800F" w14:textId="77777777" w:rsidR="001538EF" w:rsidRPr="005767EF" w:rsidRDefault="00B769DD"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rPr>
        <w:t xml:space="preserve">Iako je stopa garantovanog iznosa po pojedinačnom kreditu 50%, propisan je maksimalni dozvoljeni iznos garancije, odnosno maksimalna izloženost na nivou kreditnog portfolija koja iznosi 25% vrijednosti portfolija. </w:t>
      </w:r>
    </w:p>
    <w:p w14:paraId="7742886D" w14:textId="77777777" w:rsidR="00B769DD" w:rsidRDefault="00B769DD" w:rsidP="001538EF">
      <w:pPr>
        <w:pStyle w:val="Default"/>
        <w:jc w:val="both"/>
        <w:rPr>
          <w:rFonts w:asciiTheme="minorHAnsi" w:hAnsiTheme="minorHAnsi" w:cs="Times New Roman"/>
          <w:color w:val="auto"/>
          <w:sz w:val="20"/>
          <w:szCs w:val="20"/>
          <w:lang w:val="sr-Cyrl-BA"/>
        </w:rPr>
      </w:pPr>
    </w:p>
    <w:p w14:paraId="4E78BAA7" w14:textId="77777777" w:rsidR="001538EF" w:rsidRPr="00B769DD" w:rsidRDefault="00B769DD" w:rsidP="001538EF">
      <w:pPr>
        <w:pStyle w:val="Default"/>
        <w:jc w:val="both"/>
        <w:rPr>
          <w:rFonts w:asciiTheme="minorHAnsi" w:hAnsiTheme="minorHAnsi" w:cs="Times New Roman"/>
          <w:color w:val="auto"/>
          <w:sz w:val="20"/>
          <w:szCs w:val="20"/>
          <w:lang w:val="sr-Cyrl-RS"/>
        </w:rPr>
      </w:pPr>
      <w:r>
        <w:rPr>
          <w:rFonts w:asciiTheme="minorHAnsi" w:hAnsiTheme="minorHAnsi" w:cs="Times New Roman"/>
          <w:color w:val="auto"/>
          <w:sz w:val="20"/>
          <w:szCs w:val="20"/>
        </w:rPr>
        <w:t>Naime , član 2, stav 5 Pravilnika o odobravanju garancija propisuje da se garancijom po portfoliju određene banke ili druge finansijske institucije garantuje isplata maksimalno do 25% ukupne vrijednosti portfolija. U skladu s tim, izloženost Garantnog fonda po izdanim garancijama iz kreditnog portfolija na dan 31.12.2023. godine iznosi 8.840.869,14 KM.  Najveća je izloženost prema Procredit bank d.d. Sarajevo i ona iznosi 6.604.399,47 KM.</w:t>
      </w:r>
    </w:p>
    <w:p w14:paraId="089D78A8" w14:textId="77777777" w:rsidR="001538EF" w:rsidRDefault="001538EF" w:rsidP="001538EF">
      <w:pPr>
        <w:autoSpaceDE w:val="0"/>
        <w:autoSpaceDN w:val="0"/>
        <w:adjustRightInd w:val="0"/>
        <w:rPr>
          <w:rFonts w:asciiTheme="minorHAnsi" w:eastAsiaTheme="minorHAnsi" w:hAnsiTheme="minorHAnsi"/>
          <w:color w:val="auto"/>
          <w:sz w:val="20"/>
          <w:szCs w:val="20"/>
          <w:lang w:val="sr-Cyrl-BA" w:eastAsia="en-US"/>
        </w:rPr>
      </w:pPr>
    </w:p>
    <w:p w14:paraId="1C2A6C4C" w14:textId="77777777" w:rsidR="00BC6981" w:rsidRDefault="00BC6981" w:rsidP="001538EF">
      <w:pPr>
        <w:autoSpaceDE w:val="0"/>
        <w:autoSpaceDN w:val="0"/>
        <w:adjustRightInd w:val="0"/>
        <w:rPr>
          <w:rFonts w:asciiTheme="minorHAnsi" w:eastAsiaTheme="minorHAnsi" w:hAnsiTheme="minorHAnsi"/>
          <w:color w:val="auto"/>
          <w:sz w:val="20"/>
          <w:szCs w:val="20"/>
          <w:lang w:val="sr-Cyrl-BA" w:eastAsia="en-US"/>
        </w:rPr>
      </w:pPr>
    </w:p>
    <w:p w14:paraId="228959FB" w14:textId="77777777" w:rsidR="007460B5" w:rsidRDefault="007460B5" w:rsidP="001538EF">
      <w:pPr>
        <w:autoSpaceDE w:val="0"/>
        <w:autoSpaceDN w:val="0"/>
        <w:adjustRightInd w:val="0"/>
        <w:rPr>
          <w:rFonts w:asciiTheme="minorHAnsi" w:eastAsiaTheme="minorHAnsi" w:hAnsiTheme="minorHAnsi"/>
          <w:color w:val="auto"/>
          <w:sz w:val="20"/>
          <w:szCs w:val="20"/>
          <w:lang w:val="sr-Cyrl-BA" w:eastAsia="en-US"/>
        </w:rPr>
      </w:pPr>
    </w:p>
    <w:p w14:paraId="0A4DB8C5" w14:textId="77777777" w:rsidR="00BC6981" w:rsidRDefault="00BC6981" w:rsidP="001538EF">
      <w:pPr>
        <w:autoSpaceDE w:val="0"/>
        <w:autoSpaceDN w:val="0"/>
        <w:adjustRightInd w:val="0"/>
        <w:rPr>
          <w:rFonts w:asciiTheme="minorHAnsi" w:eastAsiaTheme="minorHAnsi" w:hAnsiTheme="minorHAnsi"/>
          <w:color w:val="auto"/>
          <w:sz w:val="20"/>
          <w:szCs w:val="20"/>
          <w:lang w:val="sr-Cyrl-BA" w:eastAsia="en-US"/>
        </w:rPr>
      </w:pPr>
    </w:p>
    <w:p w14:paraId="62B61516" w14:textId="77777777" w:rsidR="00BC6981" w:rsidRDefault="00BC6981" w:rsidP="001538EF">
      <w:pPr>
        <w:autoSpaceDE w:val="0"/>
        <w:autoSpaceDN w:val="0"/>
        <w:adjustRightInd w:val="0"/>
        <w:rPr>
          <w:rFonts w:asciiTheme="minorHAnsi" w:eastAsiaTheme="minorHAnsi" w:hAnsiTheme="minorHAnsi"/>
          <w:color w:val="auto"/>
          <w:sz w:val="20"/>
          <w:szCs w:val="20"/>
          <w:lang w:val="sr-Cyrl-BA" w:eastAsia="en-US"/>
        </w:rPr>
      </w:pPr>
    </w:p>
    <w:p w14:paraId="7E53DDAE"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726C639B"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433613D7"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0CA3F38E"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08C336E7" w14:textId="77777777" w:rsidR="004D360B" w:rsidRDefault="004D360B" w:rsidP="001538EF">
      <w:pPr>
        <w:autoSpaceDE w:val="0"/>
        <w:autoSpaceDN w:val="0"/>
        <w:adjustRightInd w:val="0"/>
        <w:rPr>
          <w:rFonts w:asciiTheme="minorHAnsi" w:eastAsiaTheme="minorHAnsi" w:hAnsiTheme="minorHAnsi"/>
          <w:color w:val="auto"/>
          <w:sz w:val="20"/>
          <w:szCs w:val="20"/>
          <w:lang w:val="sr-Latn-BA" w:eastAsia="en-US"/>
        </w:rPr>
      </w:pPr>
    </w:p>
    <w:p w14:paraId="22325B9D" w14:textId="77777777" w:rsidR="0090033D" w:rsidRPr="0090033D" w:rsidRDefault="0090033D" w:rsidP="001538EF">
      <w:pPr>
        <w:autoSpaceDE w:val="0"/>
        <w:autoSpaceDN w:val="0"/>
        <w:adjustRightInd w:val="0"/>
        <w:rPr>
          <w:rFonts w:asciiTheme="minorHAnsi" w:eastAsiaTheme="minorHAnsi" w:hAnsiTheme="minorHAnsi"/>
          <w:color w:val="auto"/>
          <w:sz w:val="20"/>
          <w:szCs w:val="20"/>
          <w:lang w:val="sr-Latn-BA" w:eastAsia="en-US"/>
        </w:rPr>
      </w:pPr>
    </w:p>
    <w:p w14:paraId="441DE4C1"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49DD99BA" w14:textId="77777777" w:rsidR="004D360B" w:rsidRDefault="004D360B" w:rsidP="001538EF">
      <w:pPr>
        <w:autoSpaceDE w:val="0"/>
        <w:autoSpaceDN w:val="0"/>
        <w:adjustRightInd w:val="0"/>
        <w:rPr>
          <w:rFonts w:asciiTheme="minorHAnsi" w:eastAsiaTheme="minorHAnsi" w:hAnsiTheme="minorHAnsi"/>
          <w:color w:val="auto"/>
          <w:sz w:val="20"/>
          <w:szCs w:val="20"/>
          <w:lang w:val="sr-Cyrl-BA" w:eastAsia="en-US"/>
        </w:rPr>
      </w:pPr>
    </w:p>
    <w:p w14:paraId="555F57B3" w14:textId="77777777" w:rsidR="004D360B" w:rsidRDefault="004D360B" w:rsidP="001538EF">
      <w:pPr>
        <w:autoSpaceDE w:val="0"/>
        <w:autoSpaceDN w:val="0"/>
        <w:adjustRightInd w:val="0"/>
        <w:rPr>
          <w:rFonts w:asciiTheme="minorHAnsi" w:eastAsiaTheme="minorHAnsi" w:hAnsiTheme="minorHAnsi"/>
          <w:color w:val="auto"/>
          <w:sz w:val="20"/>
          <w:szCs w:val="20"/>
          <w:lang w:val="sr-Latn-BA" w:eastAsia="en-US"/>
        </w:rPr>
      </w:pPr>
    </w:p>
    <w:p w14:paraId="708811EE" w14:textId="77777777" w:rsidR="00E94909" w:rsidRDefault="00E94909" w:rsidP="001538EF">
      <w:pPr>
        <w:autoSpaceDE w:val="0"/>
        <w:autoSpaceDN w:val="0"/>
        <w:adjustRightInd w:val="0"/>
        <w:rPr>
          <w:rFonts w:asciiTheme="minorHAnsi" w:eastAsiaTheme="minorHAnsi" w:hAnsiTheme="minorHAnsi"/>
          <w:color w:val="auto"/>
          <w:sz w:val="20"/>
          <w:szCs w:val="20"/>
          <w:lang w:val="sr-Latn-BA" w:eastAsia="en-US"/>
        </w:rPr>
      </w:pPr>
    </w:p>
    <w:p w14:paraId="304AAAEC" w14:textId="77777777" w:rsidR="00E94909" w:rsidRDefault="00E94909" w:rsidP="001538EF">
      <w:pPr>
        <w:autoSpaceDE w:val="0"/>
        <w:autoSpaceDN w:val="0"/>
        <w:adjustRightInd w:val="0"/>
        <w:rPr>
          <w:rFonts w:asciiTheme="minorHAnsi" w:eastAsiaTheme="minorHAnsi" w:hAnsiTheme="minorHAnsi"/>
          <w:color w:val="auto"/>
          <w:sz w:val="20"/>
          <w:szCs w:val="20"/>
          <w:lang w:val="sr-Latn-BA" w:eastAsia="en-US"/>
        </w:rPr>
      </w:pPr>
    </w:p>
    <w:p w14:paraId="01490CBB" w14:textId="77777777" w:rsidR="00E94909" w:rsidRPr="00E94909" w:rsidRDefault="00E94909" w:rsidP="001538EF">
      <w:pPr>
        <w:autoSpaceDE w:val="0"/>
        <w:autoSpaceDN w:val="0"/>
        <w:adjustRightInd w:val="0"/>
        <w:rPr>
          <w:rFonts w:asciiTheme="minorHAnsi" w:eastAsiaTheme="minorHAnsi" w:hAnsiTheme="minorHAnsi"/>
          <w:color w:val="auto"/>
          <w:sz w:val="20"/>
          <w:szCs w:val="20"/>
          <w:lang w:val="sr-Latn-BA" w:eastAsia="en-US"/>
        </w:rPr>
      </w:pPr>
    </w:p>
    <w:p w14:paraId="45B453C8" w14:textId="77777777" w:rsidR="009051D2" w:rsidRPr="005767EF" w:rsidRDefault="009051D2" w:rsidP="001538EF">
      <w:pPr>
        <w:rPr>
          <w:rFonts w:asciiTheme="minorHAnsi" w:hAnsiTheme="minorHAnsi"/>
          <w:sz w:val="20"/>
          <w:szCs w:val="20"/>
          <w:lang w:val="sr-Cyrl-BA"/>
        </w:rPr>
      </w:pPr>
    </w:p>
    <w:p w14:paraId="31FEECC2" w14:textId="77777777" w:rsidR="001538EF" w:rsidRPr="00E84021" w:rsidRDefault="00E84021" w:rsidP="00E84021">
      <w:pPr>
        <w:pStyle w:val="Heading2"/>
        <w:numPr>
          <w:ilvl w:val="0"/>
          <w:numId w:val="0"/>
        </w:numPr>
        <w:ind w:left="576" w:hanging="576"/>
        <w:rPr>
          <w:rFonts w:asciiTheme="minorHAnsi" w:hAnsiTheme="minorHAnsi"/>
          <w:b/>
          <w:szCs w:val="20"/>
        </w:rPr>
      </w:pPr>
      <w:bookmarkStart w:id="8" w:name="_Toc135292172"/>
      <w:r w:rsidRPr="00E84021">
        <w:rPr>
          <w:rFonts w:asciiTheme="minorHAnsi" w:hAnsiTheme="minorHAnsi"/>
          <w:b/>
          <w:szCs w:val="20"/>
        </w:rPr>
        <w:t>2 .3 . ANALIZA IZDANIH GARANCIJA NA EMITOVANE HARTIJE OD VRIJEDNOSTI</w:t>
      </w:r>
      <w:bookmarkEnd w:id="8"/>
    </w:p>
    <w:p w14:paraId="1BCDA4CC" w14:textId="77777777" w:rsidR="001538EF" w:rsidRPr="005767EF" w:rsidRDefault="001538EF" w:rsidP="001538EF">
      <w:pPr>
        <w:rPr>
          <w:rFonts w:asciiTheme="minorHAnsi" w:hAnsiTheme="minorHAnsi"/>
          <w:sz w:val="20"/>
          <w:szCs w:val="20"/>
        </w:rPr>
      </w:pPr>
    </w:p>
    <w:p w14:paraId="3B37E32D" w14:textId="77777777" w:rsidR="001538EF" w:rsidRDefault="00EE734C" w:rsidP="001538EF">
      <w:pPr>
        <w:rPr>
          <w:rFonts w:asciiTheme="minorHAnsi" w:hAnsiTheme="minorHAnsi"/>
          <w:sz w:val="20"/>
          <w:szCs w:val="20"/>
          <w:lang w:val="sr-Cyrl-RS"/>
        </w:rPr>
      </w:pPr>
      <w:r>
        <w:rPr>
          <w:rFonts w:asciiTheme="minorHAnsi" w:hAnsiTheme="minorHAnsi"/>
          <w:sz w:val="20"/>
          <w:szCs w:val="20"/>
        </w:rPr>
        <w:t>Članom 6 stav 2 Zakona o izmjenama i dopunama Zakona o Garantnom fondu Republike Srpske („Službeni glasnik Republike Srpske“ broj 107/19) definisana je mogućnost izdavanja garancija kojim se garantuju finansijske obaveza preduzetnika iz dužničkih hartija od vrijednosti koje preduzetnik emituje u skladu sa propisima kojim se uređuje tržište hartija od vrijednosti u postupku javne ponude.</w:t>
      </w:r>
    </w:p>
    <w:p w14:paraId="6A13109C" w14:textId="77777777" w:rsidR="00EE734C" w:rsidRPr="00EE734C" w:rsidRDefault="00EE734C" w:rsidP="001538EF">
      <w:pPr>
        <w:rPr>
          <w:rFonts w:asciiTheme="minorHAnsi" w:hAnsiTheme="minorHAnsi"/>
          <w:sz w:val="20"/>
          <w:szCs w:val="20"/>
          <w:lang w:val="sr-Cyrl-RS"/>
        </w:rPr>
      </w:pPr>
    </w:p>
    <w:p w14:paraId="787113A6" w14:textId="77777777" w:rsidR="00553306" w:rsidRDefault="00553306" w:rsidP="001538EF">
      <w:pPr>
        <w:rPr>
          <w:rFonts w:asciiTheme="minorHAnsi" w:eastAsiaTheme="minorHAnsi" w:hAnsiTheme="minorHAnsi"/>
          <w:sz w:val="20"/>
          <w:szCs w:val="20"/>
          <w:lang w:val="sr-Cyrl-RS" w:eastAsia="en-US"/>
        </w:rPr>
      </w:pPr>
      <w:r>
        <w:rPr>
          <w:rFonts w:asciiTheme="minorHAnsi" w:eastAsiaTheme="minorHAnsi" w:hAnsiTheme="minorHAnsi"/>
          <w:sz w:val="20"/>
          <w:szCs w:val="20"/>
          <w:lang w:eastAsia="en-US"/>
        </w:rPr>
        <w:t xml:space="preserve">Specifičnost ove vrste garantnog posla je u tome što se kao ugovorna strana javlja Centralni registar hartija od vrijednosti a.d. Banja Luka, koji nastupa kao platni agent u ime i za račun vlasnika emitovanih hartija od vrijednosti, pritom obavljajući poslove koji se tiču obračuna anuiteta i kamata, provođenja postupka naplate, čuvanja mjenica itd.  </w:t>
      </w:r>
    </w:p>
    <w:p w14:paraId="250BC57C" w14:textId="77777777" w:rsidR="00553306" w:rsidRDefault="00553306" w:rsidP="001538EF">
      <w:pPr>
        <w:rPr>
          <w:rFonts w:asciiTheme="minorHAnsi" w:eastAsiaTheme="minorHAnsi" w:hAnsiTheme="minorHAnsi"/>
          <w:sz w:val="20"/>
          <w:szCs w:val="20"/>
          <w:lang w:val="sr-Cyrl-RS" w:eastAsia="en-US"/>
        </w:rPr>
      </w:pPr>
    </w:p>
    <w:p w14:paraId="4FA3FB64" w14:textId="77777777" w:rsidR="001538EF" w:rsidRDefault="00EE734C" w:rsidP="001538EF">
      <w:pPr>
        <w:rPr>
          <w:rFonts w:asciiTheme="minorHAnsi" w:eastAsiaTheme="minorHAnsi" w:hAnsiTheme="minorHAnsi"/>
          <w:sz w:val="20"/>
          <w:szCs w:val="20"/>
          <w:lang w:val="sr-Cyrl-BA" w:eastAsia="en-US"/>
        </w:rPr>
      </w:pPr>
      <w:r>
        <w:rPr>
          <w:rFonts w:asciiTheme="minorHAnsi" w:eastAsiaTheme="minorHAnsi" w:hAnsiTheme="minorHAnsi"/>
          <w:sz w:val="20"/>
          <w:szCs w:val="20"/>
          <w:lang w:eastAsia="en-US"/>
        </w:rPr>
        <w:t xml:space="preserve"> Uvođenjem ove zakonske mogućnosti krajem 2019. godine, Garantni fond je početkom 2021. godine izdao prvu garanciju na emisiju obveznica javnog preduzeća Vodovod a.d. Kozarska Dubica u iznosu od 850.000,00 KM. Preostali iznos garancije na dan 31.12.2023. godine  </w:t>
      </w:r>
      <w:r w:rsidR="001538EF" w:rsidRPr="0069428E">
        <w:rPr>
          <w:rFonts w:asciiTheme="minorHAnsi" w:eastAsiaTheme="minorHAnsi" w:hAnsiTheme="minorHAnsi"/>
          <w:color w:val="auto"/>
          <w:sz w:val="20"/>
          <w:szCs w:val="20"/>
          <w:lang w:eastAsia="en-US"/>
        </w:rPr>
        <w:t xml:space="preserve"> je 741.629,26 KM. </w:t>
      </w:r>
    </w:p>
    <w:p w14:paraId="60F000E5" w14:textId="77777777" w:rsidR="00EE734C" w:rsidRPr="005767EF" w:rsidRDefault="00EE734C" w:rsidP="001538EF">
      <w:pPr>
        <w:rPr>
          <w:rFonts w:asciiTheme="minorHAnsi" w:hAnsiTheme="minorHAnsi"/>
          <w:sz w:val="20"/>
          <w:szCs w:val="20"/>
          <w:lang w:val="sr-Cyrl-BA"/>
        </w:rPr>
      </w:pPr>
    </w:p>
    <w:p w14:paraId="725F3BA9" w14:textId="77777777" w:rsidR="00553306" w:rsidRDefault="00553306" w:rsidP="00553306">
      <w:pPr>
        <w:rPr>
          <w:rFonts w:asciiTheme="minorHAnsi" w:hAnsiTheme="minorHAnsi"/>
          <w:sz w:val="20"/>
          <w:szCs w:val="20"/>
          <w:lang w:val="sr-Cyrl-BA"/>
        </w:rPr>
      </w:pPr>
      <w:r>
        <w:rPr>
          <w:rFonts w:asciiTheme="minorHAnsi" w:hAnsiTheme="minorHAnsi"/>
          <w:sz w:val="20"/>
          <w:szCs w:val="20"/>
        </w:rPr>
        <w:t>Tokom 2023. godine, Vlada Republike Srpske u funkciji Skupštine akcionara Garantnog fonda Republike Srpske je odobrila izdavanje dvije garancije na emitovane obveznice, i to: garanciju u iznosu od 1.200.000,00 KM po zahtjevu privrednog društva Interlignum d.o.o. Teslić, čime je podržano 60% vrijednosti emisije obveznica u iznosu od 2.000.000,00 KM i garanciju u iznosu od 660.000,00 KM po zahtjevu privrednog društva DI Šipovo d.o.o. Šipovo,  čime je podržano 30% vrijednosti emisije obveznica u iznosu od 2.200.000,00 KM.</w:t>
      </w:r>
    </w:p>
    <w:p w14:paraId="4A80C6DE" w14:textId="77777777" w:rsidR="00083935" w:rsidRPr="00083935" w:rsidRDefault="00083935" w:rsidP="00553306">
      <w:pPr>
        <w:rPr>
          <w:rFonts w:asciiTheme="minorHAnsi" w:hAnsiTheme="minorHAnsi"/>
          <w:sz w:val="20"/>
          <w:szCs w:val="20"/>
          <w:lang w:val="sr-Cyrl-RS"/>
        </w:rPr>
      </w:pPr>
    </w:p>
    <w:p w14:paraId="495A11E2" w14:textId="77777777" w:rsidR="001538EF" w:rsidRDefault="00083935" w:rsidP="00083935">
      <w:pPr>
        <w:jc w:val="center"/>
        <w:rPr>
          <w:rFonts w:asciiTheme="minorHAnsi" w:hAnsiTheme="minorHAnsi"/>
          <w:b/>
          <w:sz w:val="20"/>
          <w:szCs w:val="20"/>
          <w:lang w:val="sr-Cyrl-BA"/>
        </w:rPr>
      </w:pPr>
      <w:r w:rsidRPr="00083935">
        <w:rPr>
          <w:rFonts w:asciiTheme="minorHAnsi" w:hAnsiTheme="minorHAnsi"/>
          <w:b/>
          <w:sz w:val="20"/>
          <w:szCs w:val="20"/>
        </w:rPr>
        <w:t>Pregled izdanih garancija na emitovane hartije od vrijednosti u periodu 01.01.2023.-31.12.2023. godine</w:t>
      </w:r>
    </w:p>
    <w:p w14:paraId="1F6CDFC6" w14:textId="77777777" w:rsidR="00083935" w:rsidRPr="00083935" w:rsidRDefault="00A944C8" w:rsidP="00083935">
      <w:pPr>
        <w:jc w:val="right"/>
        <w:rPr>
          <w:rFonts w:asciiTheme="minorHAnsi" w:hAnsiTheme="minorHAnsi"/>
          <w:b/>
          <w:sz w:val="20"/>
          <w:szCs w:val="20"/>
          <w:lang w:val="sr-Cyrl-BA"/>
        </w:rPr>
      </w:pPr>
      <w:r>
        <w:rPr>
          <w:rFonts w:asciiTheme="minorHAnsi" w:hAnsiTheme="minorHAnsi"/>
          <w:b/>
          <w:sz w:val="20"/>
          <w:szCs w:val="20"/>
        </w:rPr>
        <w:t xml:space="preserve">Tabela 15  </w:t>
      </w:r>
    </w:p>
    <w:tbl>
      <w:tblPr>
        <w:tblpPr w:leftFromText="180" w:rightFromText="180" w:vertAnchor="text" w:horzAnchor="margin" w:tblpX="108" w:tblpY="50"/>
        <w:tblOverlap w:val="never"/>
        <w:tblW w:w="8755" w:type="dxa"/>
        <w:tblLayout w:type="fixed"/>
        <w:tblLook w:val="04A0" w:firstRow="1" w:lastRow="0" w:firstColumn="1" w:lastColumn="0" w:noHBand="0" w:noVBand="1"/>
      </w:tblPr>
      <w:tblGrid>
        <w:gridCol w:w="675"/>
        <w:gridCol w:w="3402"/>
        <w:gridCol w:w="1418"/>
        <w:gridCol w:w="1701"/>
        <w:gridCol w:w="1559"/>
      </w:tblGrid>
      <w:tr w:rsidR="00E13F69" w:rsidRPr="005767EF" w14:paraId="5ECE985A" w14:textId="77777777" w:rsidTr="00E13F69">
        <w:trPr>
          <w:trHeight w:val="825"/>
        </w:trPr>
        <w:tc>
          <w:tcPr>
            <w:tcW w:w="6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ED16C26" w14:textId="3E260499" w:rsidR="00E13F69" w:rsidRPr="00083935" w:rsidRDefault="004C4247" w:rsidP="00083935">
            <w:pPr>
              <w:ind w:right="-108" w:hanging="142"/>
              <w:jc w:val="center"/>
              <w:rPr>
                <w:rFonts w:asciiTheme="minorHAnsi" w:hAnsiTheme="minorHAnsi"/>
                <w:b/>
                <w:sz w:val="18"/>
                <w:szCs w:val="18"/>
                <w:lang w:val="sr-Cyrl-BA" w:eastAsia="sr-Latn-RS"/>
              </w:rPr>
            </w:pPr>
            <w:r>
              <w:rPr>
                <w:rFonts w:asciiTheme="minorHAnsi" w:hAnsiTheme="minorHAnsi"/>
                <w:b/>
                <w:sz w:val="18"/>
                <w:szCs w:val="18"/>
                <w:lang w:eastAsia="sr-Latn-RS"/>
              </w:rPr>
              <w:t>Redni broj</w:t>
            </w:r>
          </w:p>
        </w:tc>
        <w:tc>
          <w:tcPr>
            <w:tcW w:w="3402"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332EB0A4" w14:textId="2842A7EC" w:rsidR="00E13F69" w:rsidRPr="00083935" w:rsidRDefault="004C4247" w:rsidP="00F75B3A">
            <w:pPr>
              <w:jc w:val="center"/>
              <w:rPr>
                <w:rFonts w:asciiTheme="minorHAnsi" w:hAnsiTheme="minorHAnsi"/>
                <w:b/>
                <w:sz w:val="18"/>
                <w:szCs w:val="18"/>
                <w:lang w:val="sr-Latn-RS" w:eastAsia="sr-Latn-RS"/>
              </w:rPr>
            </w:pPr>
            <w:r>
              <w:rPr>
                <w:rFonts w:asciiTheme="minorHAnsi" w:hAnsiTheme="minorHAnsi"/>
                <w:b/>
                <w:sz w:val="18"/>
                <w:szCs w:val="18"/>
                <w:lang w:eastAsia="sr-Latn-RS"/>
              </w:rPr>
              <w:t>Nalogodavac</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13B5E52" w14:textId="77777777" w:rsidR="00E13F69" w:rsidRPr="00E13F69" w:rsidRDefault="00E13F69" w:rsidP="00F75B3A">
            <w:pPr>
              <w:jc w:val="center"/>
              <w:rPr>
                <w:rFonts w:asciiTheme="minorHAnsi" w:hAnsiTheme="minorHAnsi"/>
                <w:b/>
                <w:sz w:val="18"/>
                <w:szCs w:val="18"/>
                <w:lang w:val="sr-Cyrl-RS" w:eastAsia="sr-Latn-RS"/>
              </w:rPr>
            </w:pPr>
            <w:r>
              <w:rPr>
                <w:rFonts w:asciiTheme="minorHAnsi" w:hAnsiTheme="minorHAnsi"/>
                <w:b/>
                <w:sz w:val="18"/>
                <w:szCs w:val="18"/>
                <w:lang w:eastAsia="sr-Latn-RS"/>
              </w:rPr>
              <w:t>Vrijednost emisije</w:t>
            </w:r>
          </w:p>
        </w:tc>
        <w:tc>
          <w:tcPr>
            <w:tcW w:w="170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7D9E21FD" w14:textId="77777777" w:rsidR="00E13F69" w:rsidRPr="00083935" w:rsidRDefault="00E13F69" w:rsidP="00F75B3A">
            <w:pPr>
              <w:jc w:val="center"/>
              <w:rPr>
                <w:rFonts w:asciiTheme="minorHAnsi" w:hAnsiTheme="minorHAnsi"/>
                <w:b/>
                <w:sz w:val="18"/>
                <w:szCs w:val="18"/>
                <w:lang w:val="sr-Cyrl-RS" w:eastAsia="sr-Latn-RS"/>
              </w:rPr>
            </w:pPr>
            <w:r w:rsidRPr="00083935">
              <w:rPr>
                <w:rFonts w:asciiTheme="minorHAnsi" w:hAnsiTheme="minorHAnsi"/>
                <w:b/>
                <w:sz w:val="18"/>
                <w:szCs w:val="18"/>
                <w:lang w:eastAsia="sr-Latn-RS"/>
              </w:rPr>
              <w:t>Iznos garancije</w:t>
            </w:r>
          </w:p>
        </w:tc>
        <w:tc>
          <w:tcPr>
            <w:tcW w:w="1559" w:type="dxa"/>
            <w:tcBorders>
              <w:top w:val="single" w:sz="4" w:space="0" w:color="auto"/>
              <w:left w:val="nil"/>
              <w:bottom w:val="single" w:sz="4" w:space="0" w:color="auto"/>
              <w:right w:val="single" w:sz="4" w:space="0" w:color="auto"/>
            </w:tcBorders>
            <w:shd w:val="clear" w:color="auto" w:fill="8DB3E2" w:themeFill="text2" w:themeFillTint="66"/>
          </w:tcPr>
          <w:p w14:paraId="368ADB93" w14:textId="77777777" w:rsidR="00E13F69" w:rsidRDefault="00E13F69" w:rsidP="00F75B3A">
            <w:pPr>
              <w:jc w:val="center"/>
              <w:rPr>
                <w:rFonts w:asciiTheme="minorHAnsi" w:hAnsiTheme="minorHAnsi"/>
                <w:b/>
                <w:sz w:val="18"/>
                <w:szCs w:val="18"/>
                <w:lang w:val="sr-Cyrl-RS" w:eastAsia="sr-Latn-RS"/>
              </w:rPr>
            </w:pPr>
          </w:p>
          <w:p w14:paraId="08166934" w14:textId="77777777" w:rsidR="00E13F69" w:rsidRPr="00E13F69" w:rsidRDefault="00E85509" w:rsidP="00F75B3A">
            <w:pPr>
              <w:jc w:val="center"/>
              <w:rPr>
                <w:rFonts w:asciiTheme="minorHAnsi" w:hAnsiTheme="minorHAnsi"/>
                <w:b/>
                <w:sz w:val="18"/>
                <w:szCs w:val="18"/>
                <w:lang w:val="sr-Cyrl-RS" w:eastAsia="sr-Latn-RS"/>
              </w:rPr>
            </w:pPr>
            <w:r>
              <w:rPr>
                <w:rFonts w:asciiTheme="minorHAnsi" w:hAnsiTheme="minorHAnsi"/>
                <w:b/>
                <w:sz w:val="18"/>
                <w:szCs w:val="18"/>
                <w:lang w:eastAsia="sr-Latn-RS"/>
              </w:rPr>
              <w:t>Stanje garancija na dan 31.12.2023. godine</w:t>
            </w:r>
          </w:p>
        </w:tc>
      </w:tr>
      <w:tr w:rsidR="00E13F69" w:rsidRPr="005767EF" w14:paraId="6DA905B8" w14:textId="77777777" w:rsidTr="0069428E">
        <w:trPr>
          <w:trHeight w:val="25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6B791D5" w14:textId="77777777" w:rsidR="00E13F69" w:rsidRPr="00083935" w:rsidRDefault="00E13F69" w:rsidP="00F75B3A">
            <w:pPr>
              <w:jc w:val="center"/>
              <w:rPr>
                <w:rFonts w:asciiTheme="minorHAnsi" w:hAnsiTheme="minorHAnsi"/>
                <w:bCs/>
                <w:sz w:val="18"/>
                <w:szCs w:val="18"/>
                <w:lang w:val="sr-Cyrl-RS" w:eastAsia="sr-Latn-RS"/>
              </w:rPr>
            </w:pPr>
            <w:r w:rsidRPr="00083935">
              <w:rPr>
                <w:rFonts w:asciiTheme="minorHAnsi" w:hAnsiTheme="minorHAnsi"/>
                <w:bCs/>
                <w:sz w:val="18"/>
                <w:szCs w:val="18"/>
                <w:lang w:eastAsia="sr-Latn-R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B6269C0" w14:textId="77777777" w:rsidR="00E13F69" w:rsidRPr="00083935" w:rsidRDefault="00E13F69" w:rsidP="00F75B3A">
            <w:pPr>
              <w:jc w:val="left"/>
              <w:rPr>
                <w:rFonts w:asciiTheme="minorHAnsi" w:hAnsiTheme="minorHAnsi"/>
                <w:bCs/>
                <w:sz w:val="18"/>
                <w:szCs w:val="18"/>
                <w:lang w:val="sr-Cyrl-RS" w:eastAsia="sr-Latn-RS"/>
              </w:rPr>
            </w:pPr>
            <w:r w:rsidRPr="00083935">
              <w:rPr>
                <w:rFonts w:asciiTheme="minorHAnsi" w:hAnsiTheme="minorHAnsi"/>
                <w:bCs/>
                <w:sz w:val="18"/>
                <w:szCs w:val="18"/>
                <w:lang w:eastAsia="sr-Latn-RS"/>
              </w:rPr>
              <w:t>Interlignum d.o.o. Teslić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7FCEA1" w14:textId="77777777" w:rsidR="00E13F69" w:rsidRPr="00083935" w:rsidRDefault="00E13F69" w:rsidP="00F75B3A">
            <w:pPr>
              <w:ind w:left="-249"/>
              <w:jc w:val="right"/>
              <w:rPr>
                <w:rFonts w:asciiTheme="minorHAnsi" w:hAnsiTheme="minorHAnsi"/>
                <w:sz w:val="18"/>
                <w:szCs w:val="18"/>
                <w:lang w:val="sr-Cyrl-BA" w:eastAsia="sr-Latn-RS"/>
              </w:rPr>
            </w:pPr>
            <w:r w:rsidRPr="00083935">
              <w:rPr>
                <w:rFonts w:asciiTheme="minorHAnsi" w:hAnsiTheme="minorHAnsi"/>
                <w:sz w:val="18"/>
                <w:szCs w:val="18"/>
                <w:lang w:eastAsia="sr-Latn-RS"/>
              </w:rPr>
              <w:t>2.000.000,00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26D533" w14:textId="77777777" w:rsidR="00E13F69" w:rsidRPr="00083935" w:rsidRDefault="00E13F69" w:rsidP="0069428E">
            <w:pPr>
              <w:jc w:val="right"/>
              <w:rPr>
                <w:rFonts w:asciiTheme="minorHAnsi" w:hAnsiTheme="minorHAnsi"/>
                <w:sz w:val="18"/>
                <w:szCs w:val="18"/>
                <w:lang w:val="sr-Cyrl-BA" w:eastAsia="sr-Latn-RS"/>
              </w:rPr>
            </w:pPr>
            <w:r w:rsidRPr="00083935">
              <w:rPr>
                <w:rFonts w:asciiTheme="minorHAnsi" w:hAnsiTheme="minorHAnsi"/>
                <w:sz w:val="18"/>
                <w:szCs w:val="18"/>
                <w:lang w:eastAsia="sr-Latn-RS"/>
              </w:rPr>
              <w:t>1.200.000,00</w:t>
            </w:r>
          </w:p>
        </w:tc>
        <w:tc>
          <w:tcPr>
            <w:tcW w:w="1559" w:type="dxa"/>
            <w:tcBorders>
              <w:top w:val="single" w:sz="4" w:space="0" w:color="auto"/>
              <w:left w:val="single" w:sz="4" w:space="0" w:color="auto"/>
              <w:bottom w:val="single" w:sz="4" w:space="0" w:color="auto"/>
              <w:right w:val="single" w:sz="4" w:space="0" w:color="auto"/>
            </w:tcBorders>
            <w:vAlign w:val="center"/>
          </w:tcPr>
          <w:p w14:paraId="37CDCFC8" w14:textId="77777777" w:rsidR="00E13F69" w:rsidRPr="00083935" w:rsidRDefault="0069428E" w:rsidP="0069428E">
            <w:pPr>
              <w:jc w:val="right"/>
              <w:rPr>
                <w:rFonts w:asciiTheme="minorHAnsi" w:hAnsiTheme="minorHAnsi"/>
                <w:sz w:val="18"/>
                <w:szCs w:val="18"/>
                <w:lang w:val="sr-Cyrl-BA" w:eastAsia="sr-Latn-RS"/>
              </w:rPr>
            </w:pPr>
            <w:r>
              <w:rPr>
                <w:rFonts w:asciiTheme="minorHAnsi" w:hAnsiTheme="minorHAnsi"/>
                <w:sz w:val="18"/>
                <w:szCs w:val="18"/>
                <w:lang w:eastAsia="sr-Latn-RS"/>
              </w:rPr>
              <w:t>1.077.783,23</w:t>
            </w:r>
          </w:p>
        </w:tc>
      </w:tr>
      <w:tr w:rsidR="00E13F69" w:rsidRPr="005767EF" w14:paraId="3CA5D97C" w14:textId="77777777" w:rsidTr="0069428E">
        <w:trPr>
          <w:trHeight w:val="27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84D4A6D" w14:textId="77777777" w:rsidR="00E13F69" w:rsidRPr="00083935" w:rsidRDefault="00E13F69" w:rsidP="00F75B3A">
            <w:pPr>
              <w:jc w:val="center"/>
              <w:rPr>
                <w:rFonts w:asciiTheme="minorHAnsi" w:hAnsiTheme="minorHAnsi"/>
                <w:bCs/>
                <w:sz w:val="18"/>
                <w:szCs w:val="18"/>
                <w:lang w:val="sr-Cyrl-RS" w:eastAsia="sr-Latn-RS"/>
              </w:rPr>
            </w:pPr>
            <w:r w:rsidRPr="00083935">
              <w:rPr>
                <w:rFonts w:asciiTheme="minorHAnsi" w:hAnsiTheme="minorHAnsi"/>
                <w:bCs/>
                <w:sz w:val="18"/>
                <w:szCs w:val="18"/>
                <w:lang w:eastAsia="sr-Latn-R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82CDE57" w14:textId="77777777" w:rsidR="00E13F69" w:rsidRPr="00083935" w:rsidRDefault="00E13F69" w:rsidP="00F75B3A">
            <w:pPr>
              <w:jc w:val="left"/>
              <w:rPr>
                <w:rFonts w:asciiTheme="minorHAnsi" w:hAnsiTheme="minorHAnsi"/>
                <w:bCs/>
                <w:sz w:val="18"/>
                <w:szCs w:val="18"/>
                <w:lang w:val="sr-Cyrl-RS" w:eastAsia="sr-Latn-RS"/>
              </w:rPr>
            </w:pPr>
            <w:r w:rsidRPr="00083935">
              <w:rPr>
                <w:rFonts w:asciiTheme="minorHAnsi" w:hAnsiTheme="minorHAnsi"/>
                <w:bCs/>
                <w:sz w:val="18"/>
                <w:szCs w:val="18"/>
                <w:lang w:eastAsia="sr-Latn-RS"/>
              </w:rPr>
              <w:t>Drvna industrija Šipovo d.o.o. Šipovo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5A5F90" w14:textId="77777777" w:rsidR="00E13F69" w:rsidRPr="00083935" w:rsidRDefault="00E13F69" w:rsidP="00F75B3A">
            <w:pPr>
              <w:ind w:left="-249"/>
              <w:jc w:val="right"/>
              <w:rPr>
                <w:rFonts w:asciiTheme="minorHAnsi" w:hAnsiTheme="minorHAnsi"/>
                <w:sz w:val="18"/>
                <w:szCs w:val="18"/>
                <w:lang w:val="sr-Cyrl-BA" w:eastAsia="sr-Latn-RS"/>
              </w:rPr>
            </w:pPr>
            <w:r w:rsidRPr="00083935">
              <w:rPr>
                <w:rFonts w:asciiTheme="minorHAnsi" w:hAnsiTheme="minorHAnsi"/>
                <w:sz w:val="18"/>
                <w:szCs w:val="18"/>
                <w:lang w:eastAsia="sr-Latn-RS"/>
              </w:rPr>
              <w:t>2.200.000,00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10D462" w14:textId="77777777" w:rsidR="00E13F69" w:rsidRPr="00083935" w:rsidRDefault="00E13F69" w:rsidP="0069428E">
            <w:pPr>
              <w:jc w:val="right"/>
              <w:rPr>
                <w:rFonts w:asciiTheme="minorHAnsi" w:hAnsiTheme="minorHAnsi"/>
                <w:b/>
                <w:sz w:val="18"/>
                <w:szCs w:val="18"/>
                <w:lang w:val="sr-Cyrl-BA" w:eastAsia="sr-Latn-RS"/>
              </w:rPr>
            </w:pPr>
            <w:r w:rsidRPr="00083935">
              <w:rPr>
                <w:rFonts w:asciiTheme="minorHAnsi" w:hAnsiTheme="minorHAnsi"/>
                <w:sz w:val="18"/>
                <w:szCs w:val="18"/>
                <w:lang w:eastAsia="sr-Latn-RS"/>
              </w:rPr>
              <w:t>660.000,00</w:t>
            </w:r>
          </w:p>
        </w:tc>
        <w:tc>
          <w:tcPr>
            <w:tcW w:w="1559" w:type="dxa"/>
            <w:tcBorders>
              <w:top w:val="single" w:sz="4" w:space="0" w:color="auto"/>
              <w:left w:val="single" w:sz="4" w:space="0" w:color="auto"/>
              <w:bottom w:val="single" w:sz="4" w:space="0" w:color="auto"/>
              <w:right w:val="single" w:sz="4" w:space="0" w:color="auto"/>
            </w:tcBorders>
            <w:vAlign w:val="center"/>
          </w:tcPr>
          <w:p w14:paraId="5AB06880" w14:textId="77777777" w:rsidR="00E13F69" w:rsidRPr="00083935" w:rsidRDefault="0069428E" w:rsidP="0069428E">
            <w:pPr>
              <w:jc w:val="right"/>
              <w:rPr>
                <w:rFonts w:asciiTheme="minorHAnsi" w:hAnsiTheme="minorHAnsi"/>
                <w:sz w:val="18"/>
                <w:szCs w:val="18"/>
                <w:lang w:val="sr-Cyrl-BA" w:eastAsia="sr-Latn-RS"/>
              </w:rPr>
            </w:pPr>
            <w:r>
              <w:rPr>
                <w:rFonts w:asciiTheme="minorHAnsi" w:hAnsiTheme="minorHAnsi"/>
                <w:sz w:val="18"/>
                <w:szCs w:val="18"/>
                <w:lang w:eastAsia="sr-Latn-RS"/>
              </w:rPr>
              <w:t>634.442,53</w:t>
            </w:r>
          </w:p>
        </w:tc>
      </w:tr>
      <w:tr w:rsidR="00E13F69" w:rsidRPr="005767EF" w14:paraId="6D9DE26A" w14:textId="77777777" w:rsidTr="0069428E">
        <w:trPr>
          <w:trHeight w:val="379"/>
        </w:trPr>
        <w:tc>
          <w:tcPr>
            <w:tcW w:w="4077"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1953281" w14:textId="194C463C" w:rsidR="00E13F69" w:rsidRPr="00083935" w:rsidRDefault="00E13F69" w:rsidP="00F30F98">
            <w:pPr>
              <w:jc w:val="right"/>
              <w:rPr>
                <w:rFonts w:asciiTheme="minorHAnsi" w:hAnsiTheme="minorHAnsi"/>
                <w:sz w:val="18"/>
                <w:szCs w:val="18"/>
                <w:lang w:val="sr-Cyrl-RS" w:eastAsia="sr-Latn-RS"/>
              </w:rPr>
            </w:pPr>
            <w:r w:rsidRPr="00083935">
              <w:rPr>
                <w:rFonts w:asciiTheme="minorHAnsi" w:hAnsiTheme="minorHAnsi"/>
                <w:b/>
                <w:bCs/>
                <w:sz w:val="18"/>
                <w:szCs w:val="18"/>
                <w:lang w:eastAsia="sr-Latn-RS"/>
              </w:rPr>
              <w:t xml:space="preserve">                               </w:t>
            </w:r>
            <w:r w:rsidR="000874E0">
              <w:rPr>
                <w:rFonts w:asciiTheme="minorHAnsi" w:hAnsiTheme="minorHAnsi"/>
                <w:b/>
                <w:bCs/>
                <w:sz w:val="18"/>
                <w:szCs w:val="18"/>
                <w:lang w:eastAsia="sr-Latn-RS"/>
              </w:rPr>
              <w:t>UKUPNO</w:t>
            </w:r>
            <w:r w:rsidRPr="00083935">
              <w:rPr>
                <w:rFonts w:asciiTheme="minorHAnsi" w:hAnsiTheme="minorHAnsi"/>
                <w:b/>
                <w:bCs/>
                <w:sz w:val="18"/>
                <w:szCs w:val="18"/>
                <w:lang w:eastAsia="sr-Latn-R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3BF4B25" w14:textId="77777777" w:rsidR="00E13F69" w:rsidRPr="00083935" w:rsidRDefault="00E13F69" w:rsidP="00F75B3A">
            <w:pPr>
              <w:ind w:left="-249"/>
              <w:jc w:val="right"/>
              <w:rPr>
                <w:rFonts w:asciiTheme="minorHAnsi" w:hAnsiTheme="minorHAnsi"/>
                <w:b/>
                <w:sz w:val="18"/>
                <w:szCs w:val="18"/>
                <w:lang w:val="sr-Cyrl-BA" w:eastAsia="sr-Latn-RS"/>
              </w:rPr>
            </w:pPr>
            <w:r w:rsidRPr="00083935">
              <w:rPr>
                <w:rFonts w:asciiTheme="minorHAnsi" w:hAnsiTheme="minorHAnsi"/>
                <w:b/>
                <w:sz w:val="18"/>
                <w:szCs w:val="18"/>
                <w:lang w:eastAsia="sr-Latn-RS"/>
              </w:rPr>
              <w:t>4.200.000,00</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CB27A79" w14:textId="77777777" w:rsidR="00E13F69" w:rsidRPr="00083935" w:rsidRDefault="00E13F69" w:rsidP="00F75B3A">
            <w:pPr>
              <w:jc w:val="right"/>
              <w:rPr>
                <w:rFonts w:asciiTheme="minorHAnsi" w:hAnsiTheme="minorHAnsi"/>
                <w:b/>
                <w:sz w:val="18"/>
                <w:szCs w:val="18"/>
                <w:lang w:val="sr-Cyrl-BA" w:eastAsia="sr-Latn-RS"/>
              </w:rPr>
            </w:pPr>
            <w:r w:rsidRPr="00083935">
              <w:rPr>
                <w:rFonts w:asciiTheme="minorHAnsi" w:hAnsiTheme="minorHAnsi"/>
                <w:b/>
                <w:sz w:val="18"/>
                <w:szCs w:val="18"/>
                <w:lang w:eastAsia="sr-Latn-RS"/>
              </w:rPr>
              <w:t>1.860.000,00</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61137FE" w14:textId="77777777" w:rsidR="00E13F69" w:rsidRPr="00083935" w:rsidRDefault="0069428E" w:rsidP="0069428E">
            <w:pPr>
              <w:jc w:val="right"/>
              <w:rPr>
                <w:rFonts w:asciiTheme="minorHAnsi" w:hAnsiTheme="minorHAnsi"/>
                <w:b/>
                <w:sz w:val="18"/>
                <w:szCs w:val="18"/>
                <w:lang w:val="sr-Cyrl-BA" w:eastAsia="sr-Latn-RS"/>
              </w:rPr>
            </w:pPr>
            <w:r>
              <w:rPr>
                <w:rFonts w:asciiTheme="minorHAnsi" w:hAnsiTheme="minorHAnsi"/>
                <w:b/>
                <w:sz w:val="18"/>
                <w:szCs w:val="18"/>
                <w:lang w:eastAsia="sr-Latn-RS"/>
              </w:rPr>
              <w:t>1.712.225,76</w:t>
            </w:r>
          </w:p>
        </w:tc>
      </w:tr>
    </w:tbl>
    <w:p w14:paraId="5D03DFDC" w14:textId="77777777" w:rsidR="00F30F98" w:rsidRPr="005767EF" w:rsidRDefault="00F30F98" w:rsidP="001538EF">
      <w:pPr>
        <w:rPr>
          <w:rFonts w:asciiTheme="minorHAnsi" w:hAnsiTheme="minorHAnsi"/>
          <w:sz w:val="20"/>
          <w:szCs w:val="20"/>
          <w:lang w:val="sr-Cyrl-BA"/>
        </w:rPr>
      </w:pPr>
    </w:p>
    <w:p w14:paraId="78AFF5BA" w14:textId="77777777" w:rsidR="00E037F4" w:rsidRDefault="00E037F4" w:rsidP="001538EF">
      <w:pPr>
        <w:rPr>
          <w:rFonts w:asciiTheme="minorHAnsi" w:hAnsiTheme="minorHAnsi"/>
          <w:sz w:val="20"/>
          <w:szCs w:val="20"/>
          <w:lang w:val="sr-Cyrl-BA"/>
        </w:rPr>
      </w:pPr>
    </w:p>
    <w:p w14:paraId="1172D59D" w14:textId="77777777" w:rsidR="00E037F4" w:rsidRDefault="00E85509" w:rsidP="001538EF">
      <w:pPr>
        <w:rPr>
          <w:rFonts w:asciiTheme="minorHAnsi" w:hAnsiTheme="minorHAnsi"/>
          <w:sz w:val="20"/>
          <w:szCs w:val="20"/>
          <w:lang w:val="sr-Cyrl-BA"/>
        </w:rPr>
      </w:pPr>
      <w:r>
        <w:rPr>
          <w:rFonts w:asciiTheme="minorHAnsi" w:hAnsiTheme="minorHAnsi"/>
          <w:sz w:val="20"/>
          <w:szCs w:val="20"/>
        </w:rPr>
        <w:t>Izloženost Garantnog fonda po osnovu izdanih garancija na emitovane obveznice privrednih društava na dan 31.12.2023. godine iznosi 2.453.855,02 KM.</w:t>
      </w:r>
    </w:p>
    <w:p w14:paraId="7D799104" w14:textId="77777777" w:rsidR="00E85509" w:rsidRDefault="00E85509" w:rsidP="001538EF">
      <w:pPr>
        <w:rPr>
          <w:rFonts w:asciiTheme="minorHAnsi" w:hAnsiTheme="minorHAnsi"/>
          <w:sz w:val="20"/>
          <w:szCs w:val="20"/>
          <w:lang w:val="sr-Cyrl-BA"/>
        </w:rPr>
      </w:pPr>
    </w:p>
    <w:p w14:paraId="3BBD545E" w14:textId="77777777" w:rsidR="00E85509" w:rsidRDefault="00E85509" w:rsidP="001538EF">
      <w:pPr>
        <w:rPr>
          <w:rFonts w:asciiTheme="minorHAnsi" w:hAnsiTheme="minorHAnsi"/>
          <w:sz w:val="20"/>
          <w:szCs w:val="20"/>
          <w:lang w:val="sr-Cyrl-BA"/>
        </w:rPr>
      </w:pPr>
      <w:r>
        <w:rPr>
          <w:rFonts w:asciiTheme="minorHAnsi" w:hAnsiTheme="minorHAnsi"/>
          <w:sz w:val="20"/>
          <w:szCs w:val="20"/>
        </w:rPr>
        <w:t>Specifičnost garancija na emitovane hartije od vrijednosti je i u tome što Garantni fond garantuje za dio glavnice svakog dospjelog anuiteta. Ukupan iznos garancije je jednak zbiru pojedinačnih garancija na svaki mjesečni anuitet, te se izdaje onoliko garancija koliko traje period otplate. Platni agent, u slučaju neplaćanja anuiteta od strane emitenta, podnosi zahtjev za plaćanje pojedinačne garancije koja je vezana za neplaćeni anuitet.</w:t>
      </w:r>
    </w:p>
    <w:p w14:paraId="695A752F" w14:textId="77777777" w:rsidR="005C35BE" w:rsidRDefault="005C35BE" w:rsidP="001538EF">
      <w:pPr>
        <w:rPr>
          <w:rFonts w:asciiTheme="minorHAnsi" w:hAnsiTheme="minorHAnsi"/>
          <w:sz w:val="20"/>
          <w:szCs w:val="20"/>
          <w:lang w:val="sr-Cyrl-BA"/>
        </w:rPr>
      </w:pPr>
    </w:p>
    <w:p w14:paraId="4E4E8083" w14:textId="77777777" w:rsidR="005C35BE" w:rsidRDefault="005C35BE" w:rsidP="001538EF">
      <w:pPr>
        <w:rPr>
          <w:rFonts w:asciiTheme="minorHAnsi" w:hAnsiTheme="minorHAnsi"/>
          <w:sz w:val="20"/>
          <w:szCs w:val="20"/>
          <w:lang w:val="sr-Cyrl-BA"/>
        </w:rPr>
      </w:pPr>
      <w:r>
        <w:rPr>
          <w:rFonts w:asciiTheme="minorHAnsi" w:hAnsiTheme="minorHAnsi"/>
          <w:sz w:val="20"/>
          <w:szCs w:val="20"/>
        </w:rPr>
        <w:t>Tokom 2023. godine, izvršen je protest 3 pojedinačne garancije na emitovane obveznice klijenta Interlignum d.o.o. Teslić u ukupnom iznosu od 53.165,95 KM.</w:t>
      </w:r>
    </w:p>
    <w:p w14:paraId="34A505C5" w14:textId="77777777" w:rsidR="00E037F4" w:rsidRDefault="00E037F4" w:rsidP="001538EF">
      <w:pPr>
        <w:rPr>
          <w:rFonts w:asciiTheme="minorHAnsi" w:hAnsiTheme="minorHAnsi"/>
          <w:sz w:val="20"/>
          <w:szCs w:val="20"/>
          <w:lang w:val="sr-Cyrl-BA"/>
        </w:rPr>
      </w:pPr>
    </w:p>
    <w:p w14:paraId="39DB2AC9" w14:textId="77777777" w:rsidR="00E037F4" w:rsidRDefault="00E037F4" w:rsidP="001538EF">
      <w:pPr>
        <w:rPr>
          <w:rFonts w:asciiTheme="minorHAnsi" w:hAnsiTheme="minorHAnsi"/>
          <w:sz w:val="20"/>
          <w:szCs w:val="20"/>
          <w:lang w:val="sr-Cyrl-BA"/>
        </w:rPr>
      </w:pPr>
    </w:p>
    <w:p w14:paraId="28054128" w14:textId="77777777" w:rsidR="00E037F4" w:rsidRDefault="00E037F4" w:rsidP="001538EF">
      <w:pPr>
        <w:rPr>
          <w:rFonts w:asciiTheme="minorHAnsi" w:hAnsiTheme="minorHAnsi"/>
          <w:sz w:val="20"/>
          <w:szCs w:val="20"/>
          <w:lang w:val="sr-Cyrl-BA"/>
        </w:rPr>
      </w:pPr>
    </w:p>
    <w:p w14:paraId="6CA150BA" w14:textId="77777777" w:rsidR="00E037F4" w:rsidRDefault="00E037F4" w:rsidP="001538EF">
      <w:pPr>
        <w:rPr>
          <w:rFonts w:asciiTheme="minorHAnsi" w:hAnsiTheme="minorHAnsi"/>
          <w:sz w:val="20"/>
          <w:szCs w:val="20"/>
          <w:lang w:val="sr-Cyrl-BA"/>
        </w:rPr>
      </w:pPr>
    </w:p>
    <w:p w14:paraId="03A2EE6E" w14:textId="77777777" w:rsidR="00E037F4" w:rsidRDefault="00E037F4" w:rsidP="001538EF">
      <w:pPr>
        <w:rPr>
          <w:rFonts w:asciiTheme="minorHAnsi" w:hAnsiTheme="minorHAnsi"/>
          <w:sz w:val="20"/>
          <w:szCs w:val="20"/>
          <w:lang w:val="sr-Cyrl-BA"/>
        </w:rPr>
      </w:pPr>
    </w:p>
    <w:p w14:paraId="1CA19302" w14:textId="77777777" w:rsidR="00E037F4" w:rsidRDefault="00E037F4" w:rsidP="001538EF">
      <w:pPr>
        <w:rPr>
          <w:rFonts w:asciiTheme="minorHAnsi" w:hAnsiTheme="minorHAnsi"/>
          <w:sz w:val="20"/>
          <w:szCs w:val="20"/>
          <w:lang w:val="sr-Cyrl-BA"/>
        </w:rPr>
      </w:pPr>
    </w:p>
    <w:p w14:paraId="7D916B2C" w14:textId="77777777" w:rsidR="00E037F4" w:rsidRDefault="00E037F4" w:rsidP="001538EF">
      <w:pPr>
        <w:rPr>
          <w:rFonts w:asciiTheme="minorHAnsi" w:hAnsiTheme="minorHAnsi"/>
          <w:sz w:val="20"/>
          <w:szCs w:val="20"/>
          <w:lang w:val="sr-Latn-BA"/>
        </w:rPr>
      </w:pPr>
    </w:p>
    <w:p w14:paraId="47D3E7C4" w14:textId="77777777" w:rsidR="0090033D" w:rsidRDefault="0090033D" w:rsidP="001538EF">
      <w:pPr>
        <w:rPr>
          <w:rFonts w:asciiTheme="minorHAnsi" w:hAnsiTheme="minorHAnsi"/>
          <w:sz w:val="20"/>
          <w:szCs w:val="20"/>
          <w:lang w:val="sr-Latn-BA"/>
        </w:rPr>
      </w:pPr>
    </w:p>
    <w:p w14:paraId="6C148AA8" w14:textId="77777777" w:rsidR="0090033D" w:rsidRPr="0090033D" w:rsidRDefault="0090033D" w:rsidP="001538EF">
      <w:pPr>
        <w:rPr>
          <w:rFonts w:asciiTheme="minorHAnsi" w:hAnsiTheme="minorHAnsi"/>
          <w:sz w:val="20"/>
          <w:szCs w:val="20"/>
          <w:lang w:val="sr-Latn-BA"/>
        </w:rPr>
      </w:pPr>
    </w:p>
    <w:p w14:paraId="4EC960B5" w14:textId="77777777" w:rsidR="00545FA4" w:rsidRDefault="00545FA4" w:rsidP="001538EF">
      <w:pPr>
        <w:rPr>
          <w:rFonts w:asciiTheme="minorHAnsi" w:hAnsiTheme="minorHAnsi"/>
          <w:sz w:val="20"/>
          <w:szCs w:val="20"/>
          <w:lang w:val="sr-Cyrl-BA"/>
        </w:rPr>
      </w:pPr>
    </w:p>
    <w:p w14:paraId="1E8FE4FC" w14:textId="77777777" w:rsidR="00E037F4" w:rsidRPr="005767EF" w:rsidRDefault="00E037F4" w:rsidP="001538EF">
      <w:pPr>
        <w:rPr>
          <w:rFonts w:asciiTheme="minorHAnsi" w:hAnsiTheme="minorHAnsi"/>
          <w:sz w:val="20"/>
          <w:szCs w:val="20"/>
          <w:lang w:val="sr-Cyrl-BA"/>
        </w:rPr>
      </w:pPr>
    </w:p>
    <w:p w14:paraId="11505A3C" w14:textId="77777777" w:rsidR="00A944C8" w:rsidRPr="005767EF" w:rsidRDefault="00A944C8" w:rsidP="00A944C8">
      <w:pPr>
        <w:autoSpaceDE w:val="0"/>
        <w:autoSpaceDN w:val="0"/>
        <w:adjustRightInd w:val="0"/>
        <w:rPr>
          <w:rFonts w:asciiTheme="minorHAnsi" w:eastAsiaTheme="minorHAnsi" w:hAnsiTheme="minorHAnsi"/>
          <w:b/>
          <w:color w:val="auto"/>
          <w:sz w:val="20"/>
          <w:szCs w:val="20"/>
          <w:lang w:val="sr-Cyrl-BA" w:eastAsia="en-US"/>
        </w:rPr>
      </w:pPr>
    </w:p>
    <w:p w14:paraId="52A27C99" w14:textId="629A867B" w:rsidR="00A944C8" w:rsidRPr="00A944C8" w:rsidRDefault="00AC460F" w:rsidP="00A944C8">
      <w:pPr>
        <w:pStyle w:val="Heading2"/>
        <w:numPr>
          <w:ilvl w:val="0"/>
          <w:numId w:val="0"/>
        </w:numPr>
        <w:rPr>
          <w:rFonts w:asciiTheme="minorHAnsi" w:hAnsiTheme="minorHAnsi"/>
          <w:color w:val="FF0000"/>
          <w:szCs w:val="20"/>
          <w:lang w:val="sr-Cyrl-RS"/>
        </w:rPr>
      </w:pPr>
      <w:bookmarkStart w:id="9" w:name="_Toc135292171"/>
      <w:r>
        <w:rPr>
          <w:rFonts w:asciiTheme="minorHAnsi" w:hAnsiTheme="minorHAnsi"/>
          <w:szCs w:val="20"/>
        </w:rPr>
        <w:t>2.4</w:t>
      </w:r>
      <w:r w:rsidR="00A944C8" w:rsidRPr="00A944C8">
        <w:rPr>
          <w:rFonts w:asciiTheme="minorHAnsi" w:hAnsiTheme="minorHAnsi"/>
          <w:szCs w:val="20"/>
        </w:rPr>
        <w:t>. ANALIZA IZLOŽENOSTI GARANTNOG FONDA REPUBLIKE SRPSKE PREMA FINANSIJSKIM POSREDNICIMA NA DAN 31.12.2023. GODINE</w:t>
      </w:r>
      <w:bookmarkEnd w:id="9"/>
    </w:p>
    <w:p w14:paraId="3E92DA64" w14:textId="77777777" w:rsidR="00A944C8" w:rsidRDefault="00A944C8" w:rsidP="00CF5C14">
      <w:pPr>
        <w:autoSpaceDE w:val="0"/>
        <w:autoSpaceDN w:val="0"/>
        <w:adjustRightInd w:val="0"/>
        <w:jc w:val="left"/>
        <w:rPr>
          <w:rFonts w:asciiTheme="minorHAnsi" w:eastAsiaTheme="minorHAnsi" w:hAnsiTheme="minorHAnsi"/>
          <w:b/>
          <w:color w:val="auto"/>
          <w:sz w:val="20"/>
          <w:szCs w:val="20"/>
          <w:lang w:val="sr-Cyrl-BA" w:eastAsia="en-US"/>
        </w:rPr>
      </w:pPr>
    </w:p>
    <w:p w14:paraId="22D0FBE2" w14:textId="77777777" w:rsidR="00CF5C14" w:rsidRDefault="00CF5C14" w:rsidP="00CF5C14">
      <w:pPr>
        <w:autoSpaceDE w:val="0"/>
        <w:autoSpaceDN w:val="0"/>
        <w:adjustRightInd w:val="0"/>
        <w:rPr>
          <w:rFonts w:asciiTheme="minorHAnsi" w:eastAsiaTheme="minorHAnsi" w:hAnsiTheme="minorHAnsi"/>
          <w:color w:val="auto"/>
          <w:sz w:val="20"/>
          <w:szCs w:val="20"/>
          <w:lang w:val="sr-Cyrl-BA" w:eastAsia="en-US"/>
        </w:rPr>
      </w:pPr>
      <w:r w:rsidRPr="00CF5C14">
        <w:rPr>
          <w:rFonts w:asciiTheme="minorHAnsi" w:eastAsiaTheme="minorHAnsi" w:hAnsiTheme="minorHAnsi"/>
          <w:color w:val="auto"/>
          <w:sz w:val="20"/>
          <w:szCs w:val="20"/>
          <w:lang w:eastAsia="en-US"/>
        </w:rPr>
        <w:t>Izloženost Garantnog fonda Republike Srpske prema finansijskim posrednicima na dan 31.12.2023. godine je potencijalna obaveza koju Fond ima prema bankama, odnosno drugim finansijskim organizacijama po osnovu izdanih garancija. Fond je prema finansijskim posrednicima izložen po 3 osnova: po osnovu pojedinačnih garancija na kredite, po osnovu garancija na emitovane hartije od vrijednosti i po osnovu garancija na kreditni portfolio.</w:t>
      </w:r>
    </w:p>
    <w:p w14:paraId="465BC081" w14:textId="77777777" w:rsidR="009051D2" w:rsidRDefault="009051D2" w:rsidP="00CF5C14">
      <w:pPr>
        <w:autoSpaceDE w:val="0"/>
        <w:autoSpaceDN w:val="0"/>
        <w:adjustRightInd w:val="0"/>
        <w:rPr>
          <w:rFonts w:asciiTheme="minorHAnsi" w:eastAsiaTheme="minorHAnsi" w:hAnsiTheme="minorHAnsi"/>
          <w:color w:val="auto"/>
          <w:sz w:val="20"/>
          <w:szCs w:val="20"/>
          <w:lang w:val="sr-Cyrl-BA" w:eastAsia="en-US"/>
        </w:rPr>
      </w:pPr>
    </w:p>
    <w:p w14:paraId="48F4DF91" w14:textId="77777777" w:rsidR="009051D2" w:rsidRDefault="009051D2" w:rsidP="00CF5C14">
      <w:pPr>
        <w:autoSpaceDE w:val="0"/>
        <w:autoSpaceDN w:val="0"/>
        <w:adjustRightInd w:val="0"/>
        <w:rPr>
          <w:rFonts w:asciiTheme="minorHAnsi" w:eastAsiaTheme="minorHAnsi" w:hAnsiTheme="minorHAnsi"/>
          <w:color w:val="auto"/>
          <w:sz w:val="20"/>
          <w:szCs w:val="20"/>
          <w:lang w:val="sr-Cyrl-BA" w:eastAsia="en-US"/>
        </w:rPr>
      </w:pPr>
      <w:r w:rsidRPr="009051D2">
        <w:rPr>
          <w:rFonts w:asciiTheme="minorHAnsi" w:eastAsiaTheme="minorHAnsi" w:hAnsiTheme="minorHAnsi"/>
          <w:color w:val="auto"/>
          <w:sz w:val="20"/>
          <w:szCs w:val="20"/>
          <w:lang w:eastAsia="en-US"/>
        </w:rPr>
        <w:t>Prema odredbama člana 14 stav 3 Zakona o Garantnom fondu Republike Srpske („Službeni glasnik Republike Srpske“, broj 50/10), ukupan iznos garantovanih obaveza prema jednoj banci ili finansijskoj organizaciji ne može biti veći od 30% garantnog potencijala Fonda. Garantni potencijal Fonda je jednak trostrukoj vrijednosti osnovnog kapitala i iznosi 90.000.000,00 KM, što je takođe utvrđeno Zakonom. Dakle , maksimalna izloženost prema jednom finansijskom posredniku iznosi 27.000.000,00 KM. Poslednja kolona u tabeli 16 prikazuje stopu izloženosti prema svakom finansijskom posredniku. Najveća je izloženost prema Prokredit banci i ona na dan 31.12.2023. godine iznosi 9.013.607,80 KM, što predstavlja trećinu (33,38%) maksimalno dozvoljene izloženosti prema jednom finansijskom posredniku.</w:t>
      </w:r>
    </w:p>
    <w:p w14:paraId="75319B2F" w14:textId="77777777" w:rsidR="00CF5C14" w:rsidRPr="00CF5C14" w:rsidRDefault="00CF5C14" w:rsidP="00CF5C14">
      <w:pPr>
        <w:autoSpaceDE w:val="0"/>
        <w:autoSpaceDN w:val="0"/>
        <w:adjustRightInd w:val="0"/>
        <w:rPr>
          <w:rFonts w:asciiTheme="minorHAnsi" w:eastAsiaTheme="minorHAnsi" w:hAnsiTheme="minorHAnsi"/>
          <w:color w:val="auto"/>
          <w:sz w:val="20"/>
          <w:szCs w:val="20"/>
          <w:lang w:val="sr-Cyrl-BA" w:eastAsia="en-US"/>
        </w:rPr>
      </w:pPr>
    </w:p>
    <w:p w14:paraId="0B1B4E4B" w14:textId="77777777" w:rsidR="009051D2" w:rsidRDefault="00A944C8" w:rsidP="00CF5C14">
      <w:pPr>
        <w:autoSpaceDE w:val="0"/>
        <w:autoSpaceDN w:val="0"/>
        <w:adjustRightInd w:val="0"/>
        <w:ind w:left="720"/>
        <w:jc w:val="center"/>
        <w:rPr>
          <w:rFonts w:asciiTheme="minorHAnsi" w:eastAsiaTheme="minorHAnsi" w:hAnsiTheme="minorHAnsi"/>
          <w:b/>
          <w:color w:val="auto"/>
          <w:sz w:val="20"/>
          <w:szCs w:val="20"/>
          <w:lang w:val="sr-Cyrl-BA" w:eastAsia="en-US"/>
        </w:rPr>
      </w:pPr>
      <w:r w:rsidRPr="00FF73BD">
        <w:rPr>
          <w:rFonts w:asciiTheme="minorHAnsi" w:eastAsiaTheme="minorHAnsi" w:hAnsiTheme="minorHAnsi"/>
          <w:b/>
          <w:color w:val="auto"/>
          <w:sz w:val="20"/>
          <w:szCs w:val="20"/>
          <w:lang w:eastAsia="en-US"/>
        </w:rPr>
        <w:t>Pregled izloženosti Garantnog fonda Republike Srpske prema finansijskim posrednicima na dan 31.12.2023. godine</w:t>
      </w:r>
    </w:p>
    <w:p w14:paraId="31973C3C" w14:textId="77777777" w:rsidR="00A944C8" w:rsidRPr="00FF73BD" w:rsidRDefault="00A944C8" w:rsidP="00CF5C14">
      <w:pPr>
        <w:autoSpaceDE w:val="0"/>
        <w:autoSpaceDN w:val="0"/>
        <w:adjustRightInd w:val="0"/>
        <w:ind w:left="720"/>
        <w:jc w:val="center"/>
        <w:rPr>
          <w:rFonts w:asciiTheme="minorHAnsi" w:eastAsiaTheme="minorHAnsi" w:hAnsiTheme="minorHAnsi"/>
          <w:color w:val="auto"/>
          <w:sz w:val="20"/>
          <w:szCs w:val="20"/>
          <w:lang w:val="sr-Cyrl-BA" w:eastAsia="en-US"/>
        </w:rPr>
      </w:pPr>
      <w:r w:rsidRPr="00FF73BD">
        <w:rPr>
          <w:rFonts w:asciiTheme="minorHAnsi" w:eastAsiaTheme="minorHAnsi" w:hAnsiTheme="minorHAnsi"/>
          <w:color w:val="auto"/>
          <w:sz w:val="20"/>
          <w:szCs w:val="20"/>
          <w:lang w:eastAsia="en-US"/>
        </w:rPr>
        <w:tab/>
        <w:t xml:space="preserve">                 </w:t>
      </w:r>
    </w:p>
    <w:tbl>
      <w:tblPr>
        <w:tblW w:w="8804" w:type="dxa"/>
        <w:tblInd w:w="93" w:type="dxa"/>
        <w:tblLayout w:type="fixed"/>
        <w:tblLook w:val="04A0" w:firstRow="1" w:lastRow="0" w:firstColumn="1" w:lastColumn="0" w:noHBand="0" w:noVBand="1"/>
      </w:tblPr>
      <w:tblGrid>
        <w:gridCol w:w="14"/>
        <w:gridCol w:w="1844"/>
        <w:gridCol w:w="851"/>
        <w:gridCol w:w="1275"/>
        <w:gridCol w:w="709"/>
        <w:gridCol w:w="567"/>
        <w:gridCol w:w="1276"/>
        <w:gridCol w:w="1134"/>
        <w:gridCol w:w="1134"/>
      </w:tblGrid>
      <w:tr w:rsidR="00572EC5" w:rsidRPr="00CA6C43" w14:paraId="65F3B312" w14:textId="77777777" w:rsidTr="00E356BB">
        <w:trPr>
          <w:gridBefore w:val="1"/>
          <w:wBefore w:w="14" w:type="dxa"/>
          <w:trHeight w:val="465"/>
        </w:trPr>
        <w:tc>
          <w:tcPr>
            <w:tcW w:w="1844" w:type="dxa"/>
            <w:tcBorders>
              <w:top w:val="nil"/>
              <w:left w:val="nil"/>
              <w:bottom w:val="nil"/>
              <w:right w:val="nil"/>
            </w:tcBorders>
            <w:shd w:val="clear" w:color="000000" w:fill="FFFFFF"/>
          </w:tcPr>
          <w:p w14:paraId="11EE8AFD" w14:textId="77777777" w:rsidR="00572EC5" w:rsidRPr="00CA6C43" w:rsidRDefault="00572EC5" w:rsidP="00091285">
            <w:pPr>
              <w:rPr>
                <w:rFonts w:asciiTheme="minorHAnsi" w:hAnsiTheme="minorHAnsi"/>
                <w:b/>
                <w:bCs/>
                <w:color w:val="FF0000"/>
                <w:sz w:val="18"/>
                <w:szCs w:val="18"/>
                <w:lang w:val="sr-Cyrl-BA" w:eastAsia="sr-Latn-RS"/>
              </w:rPr>
            </w:pPr>
          </w:p>
        </w:tc>
        <w:tc>
          <w:tcPr>
            <w:tcW w:w="2835" w:type="dxa"/>
            <w:gridSpan w:val="3"/>
            <w:tcBorders>
              <w:top w:val="nil"/>
              <w:left w:val="nil"/>
              <w:bottom w:val="nil"/>
              <w:right w:val="nil"/>
            </w:tcBorders>
            <w:shd w:val="clear" w:color="000000" w:fill="FFFFFF"/>
          </w:tcPr>
          <w:p w14:paraId="0756C070" w14:textId="77777777" w:rsidR="00572EC5" w:rsidRPr="00CA6C43" w:rsidRDefault="00572EC5" w:rsidP="00091285">
            <w:pPr>
              <w:rPr>
                <w:rFonts w:asciiTheme="minorHAnsi" w:hAnsiTheme="minorHAnsi"/>
                <w:b/>
                <w:bCs/>
                <w:color w:val="FF0000"/>
                <w:sz w:val="18"/>
                <w:szCs w:val="18"/>
                <w:lang w:val="sr-Cyrl-BA" w:eastAsia="sr-Latn-RS"/>
              </w:rPr>
            </w:pPr>
          </w:p>
        </w:tc>
        <w:tc>
          <w:tcPr>
            <w:tcW w:w="4111" w:type="dxa"/>
            <w:gridSpan w:val="4"/>
            <w:tcBorders>
              <w:top w:val="nil"/>
              <w:left w:val="nil"/>
              <w:bottom w:val="nil"/>
              <w:right w:val="nil"/>
            </w:tcBorders>
            <w:shd w:val="clear" w:color="000000" w:fill="FFFFFF"/>
          </w:tcPr>
          <w:p w14:paraId="262148D4" w14:textId="77777777" w:rsidR="00572EC5" w:rsidRDefault="00572EC5" w:rsidP="00091285">
            <w:pPr>
              <w:jc w:val="center"/>
              <w:rPr>
                <w:rFonts w:asciiTheme="minorHAnsi" w:eastAsiaTheme="minorHAnsi" w:hAnsiTheme="minorHAnsi"/>
                <w:b/>
                <w:color w:val="auto"/>
                <w:sz w:val="18"/>
                <w:szCs w:val="18"/>
                <w:lang w:val="sr-Cyrl-BA" w:eastAsia="en-US"/>
              </w:rPr>
            </w:pPr>
            <w:r>
              <w:rPr>
                <w:rFonts w:asciiTheme="minorHAnsi" w:eastAsiaTheme="minorHAnsi" w:hAnsiTheme="minorHAnsi"/>
                <w:b/>
                <w:color w:val="auto"/>
                <w:sz w:val="18"/>
                <w:szCs w:val="18"/>
                <w:lang w:eastAsia="en-US"/>
              </w:rPr>
              <w:t xml:space="preserve">                                                                          Tabela 16</w:t>
            </w:r>
          </w:p>
        </w:tc>
      </w:tr>
      <w:tr w:rsidR="00E356BB" w:rsidRPr="00E356BB" w14:paraId="09A87E6B" w14:textId="77777777" w:rsidTr="003F1A09">
        <w:trPr>
          <w:trHeight w:val="1335"/>
        </w:trPr>
        <w:tc>
          <w:tcPr>
            <w:tcW w:w="2709" w:type="dxa"/>
            <w:gridSpan w:val="3"/>
            <w:vMerge w:val="restart"/>
            <w:tcBorders>
              <w:top w:val="single" w:sz="4" w:space="0" w:color="auto"/>
              <w:left w:val="single" w:sz="8" w:space="0" w:color="auto"/>
              <w:bottom w:val="single" w:sz="8" w:space="0" w:color="000000"/>
              <w:right w:val="single" w:sz="8" w:space="0" w:color="000000"/>
            </w:tcBorders>
            <w:shd w:val="clear" w:color="000000" w:fill="8DB4E2"/>
            <w:vAlign w:val="center"/>
            <w:hideMark/>
          </w:tcPr>
          <w:p w14:paraId="5129B35F"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rPr>
              <w:t xml:space="preserve">   Finansijski posrednik</w:t>
            </w:r>
          </w:p>
        </w:tc>
        <w:tc>
          <w:tcPr>
            <w:tcW w:w="1275" w:type="dxa"/>
            <w:vMerge w:val="restart"/>
            <w:tcBorders>
              <w:top w:val="single" w:sz="4" w:space="0" w:color="auto"/>
              <w:left w:val="single" w:sz="8" w:space="0" w:color="auto"/>
              <w:bottom w:val="single" w:sz="8" w:space="0" w:color="000000"/>
              <w:right w:val="single" w:sz="8" w:space="0" w:color="auto"/>
            </w:tcBorders>
            <w:shd w:val="clear" w:color="000000" w:fill="8DB4E2"/>
            <w:vAlign w:val="center"/>
            <w:hideMark/>
          </w:tcPr>
          <w:p w14:paraId="47D32AB0" w14:textId="77777777" w:rsidR="00E356BB" w:rsidRPr="00E356BB" w:rsidRDefault="00E356BB" w:rsidP="009051D2">
            <w:pPr>
              <w:ind w:right="-108"/>
              <w:jc w:val="center"/>
              <w:rPr>
                <w:rFonts w:ascii="Calibri" w:hAnsi="Calibri"/>
                <w:b/>
                <w:bCs/>
                <w:color w:val="auto"/>
                <w:sz w:val="16"/>
                <w:szCs w:val="16"/>
              </w:rPr>
            </w:pPr>
            <w:r w:rsidRPr="00E356BB">
              <w:rPr>
                <w:rFonts w:ascii="Calibri" w:hAnsi="Calibri"/>
                <w:b/>
                <w:bCs/>
                <w:color w:val="auto"/>
                <w:sz w:val="16"/>
                <w:szCs w:val="16"/>
              </w:rPr>
              <w:t>Stanje pojedinačnih garancija na dan 31.12.2023.</w:t>
            </w:r>
          </w:p>
        </w:tc>
        <w:tc>
          <w:tcPr>
            <w:tcW w:w="1276" w:type="dxa"/>
            <w:gridSpan w:val="2"/>
            <w:vMerge w:val="restart"/>
            <w:tcBorders>
              <w:top w:val="single" w:sz="4" w:space="0" w:color="auto"/>
              <w:left w:val="single" w:sz="8" w:space="0" w:color="auto"/>
              <w:bottom w:val="single" w:sz="8" w:space="0" w:color="000000"/>
              <w:right w:val="single" w:sz="8" w:space="0" w:color="auto"/>
            </w:tcBorders>
            <w:shd w:val="clear" w:color="000000" w:fill="8DB4E2"/>
            <w:vAlign w:val="center"/>
            <w:hideMark/>
          </w:tcPr>
          <w:p w14:paraId="0B19805A"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rPr>
              <w:t>Stanje garancija iz kreditnog portfolija na dan 31.12.2023.</w:t>
            </w:r>
          </w:p>
        </w:tc>
        <w:tc>
          <w:tcPr>
            <w:tcW w:w="1276" w:type="dxa"/>
            <w:vMerge w:val="restart"/>
            <w:tcBorders>
              <w:top w:val="single" w:sz="4" w:space="0" w:color="auto"/>
              <w:left w:val="single" w:sz="8" w:space="0" w:color="auto"/>
              <w:bottom w:val="single" w:sz="8" w:space="0" w:color="000000"/>
              <w:right w:val="single" w:sz="8" w:space="0" w:color="auto"/>
            </w:tcBorders>
            <w:shd w:val="clear" w:color="000000" w:fill="8DB4E2"/>
            <w:vAlign w:val="center"/>
            <w:hideMark/>
          </w:tcPr>
          <w:p w14:paraId="6C5DAB13"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rPr>
              <w:t>Stanje garancija na hartije od vrijednosti na dan 31.12.2023. godine</w:t>
            </w:r>
          </w:p>
        </w:tc>
        <w:tc>
          <w:tcPr>
            <w:tcW w:w="1134" w:type="dxa"/>
            <w:vMerge w:val="restart"/>
            <w:tcBorders>
              <w:top w:val="single" w:sz="4" w:space="0" w:color="auto"/>
              <w:left w:val="single" w:sz="8" w:space="0" w:color="auto"/>
              <w:bottom w:val="single" w:sz="8" w:space="0" w:color="000000"/>
              <w:right w:val="single" w:sz="8" w:space="0" w:color="auto"/>
            </w:tcBorders>
            <w:shd w:val="clear" w:color="000000" w:fill="8DB4E2"/>
            <w:vAlign w:val="center"/>
            <w:hideMark/>
          </w:tcPr>
          <w:p w14:paraId="6078E273" w14:textId="77777777" w:rsidR="00E356BB" w:rsidRPr="00E356BB" w:rsidRDefault="00E356BB" w:rsidP="00B563CF">
            <w:pPr>
              <w:ind w:right="-108"/>
              <w:jc w:val="center"/>
              <w:rPr>
                <w:rFonts w:ascii="Calibri" w:hAnsi="Calibri"/>
                <w:b/>
                <w:bCs/>
                <w:color w:val="auto"/>
                <w:sz w:val="16"/>
                <w:szCs w:val="16"/>
              </w:rPr>
            </w:pPr>
            <w:r w:rsidRPr="00E356BB">
              <w:rPr>
                <w:rFonts w:ascii="Calibri" w:hAnsi="Calibri"/>
                <w:b/>
                <w:bCs/>
                <w:color w:val="auto"/>
                <w:sz w:val="16"/>
                <w:szCs w:val="16"/>
              </w:rPr>
              <w:t xml:space="preserve">Ukupna izloženost prema finansijskom posredniku </w:t>
            </w:r>
          </w:p>
        </w:tc>
        <w:tc>
          <w:tcPr>
            <w:tcW w:w="1134" w:type="dxa"/>
            <w:vMerge w:val="restart"/>
            <w:tcBorders>
              <w:top w:val="single" w:sz="4" w:space="0" w:color="auto"/>
              <w:left w:val="single" w:sz="8" w:space="0" w:color="auto"/>
              <w:bottom w:val="single" w:sz="8" w:space="0" w:color="000000"/>
              <w:right w:val="single" w:sz="8" w:space="0" w:color="auto"/>
            </w:tcBorders>
            <w:shd w:val="clear" w:color="000000" w:fill="8DB4E2"/>
            <w:vAlign w:val="center"/>
            <w:hideMark/>
          </w:tcPr>
          <w:p w14:paraId="18943B02" w14:textId="77777777" w:rsidR="00E356BB" w:rsidRPr="00E356BB" w:rsidRDefault="00E356BB" w:rsidP="00E356BB">
            <w:pPr>
              <w:jc w:val="center"/>
              <w:rPr>
                <w:rFonts w:ascii="Calibri" w:hAnsi="Calibri"/>
                <w:b/>
                <w:bCs/>
                <w:color w:val="auto"/>
                <w:sz w:val="16"/>
                <w:szCs w:val="16"/>
              </w:rPr>
            </w:pPr>
            <w:r w:rsidRPr="00E356BB">
              <w:rPr>
                <w:rFonts w:ascii="Calibri" w:hAnsi="Calibri"/>
                <w:b/>
                <w:bCs/>
                <w:color w:val="auto"/>
                <w:sz w:val="16"/>
                <w:szCs w:val="16"/>
              </w:rPr>
              <w:t>Stopa izloženosti u odnosu na maksimalno dozvoljenu izloženost (30% garantnog potencijala)</w:t>
            </w:r>
          </w:p>
        </w:tc>
      </w:tr>
      <w:tr w:rsidR="00E356BB" w:rsidRPr="00E356BB" w14:paraId="12807811" w14:textId="77777777" w:rsidTr="009051D2">
        <w:trPr>
          <w:trHeight w:val="517"/>
        </w:trPr>
        <w:tc>
          <w:tcPr>
            <w:tcW w:w="2709" w:type="dxa"/>
            <w:gridSpan w:val="3"/>
            <w:vMerge/>
            <w:tcBorders>
              <w:top w:val="nil"/>
              <w:left w:val="single" w:sz="8" w:space="0" w:color="auto"/>
              <w:bottom w:val="single" w:sz="8" w:space="0" w:color="000000"/>
              <w:right w:val="single" w:sz="8" w:space="0" w:color="000000"/>
            </w:tcBorders>
            <w:vAlign w:val="center"/>
            <w:hideMark/>
          </w:tcPr>
          <w:p w14:paraId="20067550" w14:textId="77777777" w:rsidR="00E356BB" w:rsidRPr="00E356BB" w:rsidRDefault="00E356BB" w:rsidP="00E356BB">
            <w:pPr>
              <w:jc w:val="left"/>
              <w:rPr>
                <w:rFonts w:ascii="Calibri" w:hAnsi="Calibri"/>
                <w:b/>
                <w:bCs/>
                <w:color w:val="auto"/>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14:paraId="32CF3882" w14:textId="77777777" w:rsidR="00E356BB" w:rsidRPr="00E356BB" w:rsidRDefault="00E356BB" w:rsidP="00E356BB">
            <w:pPr>
              <w:jc w:val="left"/>
              <w:rPr>
                <w:rFonts w:ascii="Calibri" w:hAnsi="Calibri"/>
                <w:b/>
                <w:bCs/>
                <w:color w:val="auto"/>
                <w:sz w:val="16"/>
                <w:szCs w:val="16"/>
              </w:rPr>
            </w:pP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14:paraId="52B7A0C7" w14:textId="77777777" w:rsidR="00E356BB" w:rsidRPr="00E356BB" w:rsidRDefault="00E356BB" w:rsidP="00E356BB">
            <w:pPr>
              <w:jc w:val="left"/>
              <w:rPr>
                <w:rFonts w:ascii="Calibri" w:hAnsi="Calibri"/>
                <w:b/>
                <w:bCs/>
                <w:color w:val="auto"/>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99FCC0E"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32642627"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71883AE" w14:textId="77777777" w:rsidR="00E356BB" w:rsidRPr="00E356BB" w:rsidRDefault="00E356BB" w:rsidP="00E356BB">
            <w:pPr>
              <w:jc w:val="left"/>
              <w:rPr>
                <w:rFonts w:ascii="Calibri" w:hAnsi="Calibri"/>
                <w:b/>
                <w:bCs/>
                <w:color w:val="auto"/>
                <w:sz w:val="16"/>
                <w:szCs w:val="16"/>
              </w:rPr>
            </w:pPr>
          </w:p>
        </w:tc>
      </w:tr>
      <w:tr w:rsidR="00E356BB" w:rsidRPr="00E356BB" w14:paraId="27355BAB" w14:textId="77777777" w:rsidTr="009051D2">
        <w:trPr>
          <w:trHeight w:val="517"/>
        </w:trPr>
        <w:tc>
          <w:tcPr>
            <w:tcW w:w="2709" w:type="dxa"/>
            <w:gridSpan w:val="3"/>
            <w:vMerge/>
            <w:tcBorders>
              <w:top w:val="nil"/>
              <w:left w:val="single" w:sz="8" w:space="0" w:color="auto"/>
              <w:bottom w:val="single" w:sz="8" w:space="0" w:color="000000"/>
              <w:right w:val="single" w:sz="8" w:space="0" w:color="000000"/>
            </w:tcBorders>
            <w:vAlign w:val="center"/>
            <w:hideMark/>
          </w:tcPr>
          <w:p w14:paraId="658ACD16" w14:textId="77777777" w:rsidR="00E356BB" w:rsidRPr="00E356BB" w:rsidRDefault="00E356BB" w:rsidP="00E356BB">
            <w:pPr>
              <w:jc w:val="left"/>
              <w:rPr>
                <w:rFonts w:ascii="Calibri" w:hAnsi="Calibri"/>
                <w:b/>
                <w:bCs/>
                <w:color w:val="auto"/>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14:paraId="18EAA594" w14:textId="77777777" w:rsidR="00E356BB" w:rsidRPr="00E356BB" w:rsidRDefault="00E356BB" w:rsidP="00E356BB">
            <w:pPr>
              <w:jc w:val="left"/>
              <w:rPr>
                <w:rFonts w:ascii="Calibri" w:hAnsi="Calibri"/>
                <w:b/>
                <w:bCs/>
                <w:color w:val="auto"/>
                <w:sz w:val="16"/>
                <w:szCs w:val="16"/>
              </w:rPr>
            </w:pPr>
          </w:p>
        </w:tc>
        <w:tc>
          <w:tcPr>
            <w:tcW w:w="1276" w:type="dxa"/>
            <w:gridSpan w:val="2"/>
            <w:vMerge/>
            <w:tcBorders>
              <w:top w:val="single" w:sz="8" w:space="0" w:color="auto"/>
              <w:left w:val="single" w:sz="8" w:space="0" w:color="auto"/>
              <w:bottom w:val="single" w:sz="8" w:space="0" w:color="000000"/>
              <w:right w:val="single" w:sz="8" w:space="0" w:color="auto"/>
            </w:tcBorders>
            <w:vAlign w:val="center"/>
            <w:hideMark/>
          </w:tcPr>
          <w:p w14:paraId="7CDED768" w14:textId="77777777" w:rsidR="00E356BB" w:rsidRPr="00E356BB" w:rsidRDefault="00E356BB" w:rsidP="00E356BB">
            <w:pPr>
              <w:jc w:val="left"/>
              <w:rPr>
                <w:rFonts w:ascii="Calibri" w:hAnsi="Calibri"/>
                <w:b/>
                <w:bCs/>
                <w:color w:val="auto"/>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0BFABD46"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2D3BF016" w14:textId="77777777" w:rsidR="00E356BB" w:rsidRPr="00E356BB" w:rsidRDefault="00E356BB" w:rsidP="00E356BB">
            <w:pPr>
              <w:jc w:val="left"/>
              <w:rPr>
                <w:rFonts w:ascii="Calibri" w:hAnsi="Calibri"/>
                <w:b/>
                <w:bCs/>
                <w:color w:val="auto"/>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F7644AC" w14:textId="77777777" w:rsidR="00E356BB" w:rsidRPr="00E356BB" w:rsidRDefault="00E356BB" w:rsidP="00E356BB">
            <w:pPr>
              <w:jc w:val="left"/>
              <w:rPr>
                <w:rFonts w:ascii="Calibri" w:hAnsi="Calibri"/>
                <w:b/>
                <w:bCs/>
                <w:color w:val="auto"/>
                <w:sz w:val="16"/>
                <w:szCs w:val="16"/>
              </w:rPr>
            </w:pPr>
          </w:p>
        </w:tc>
      </w:tr>
      <w:tr w:rsidR="00E356BB" w:rsidRPr="00E356BB" w14:paraId="31EAA7D6" w14:textId="77777777" w:rsidTr="009051D2">
        <w:trPr>
          <w:trHeight w:val="40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450A793A"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 xml:space="preserve">Procredit bank d.d. Sarajevo  </w:t>
            </w:r>
          </w:p>
        </w:tc>
        <w:tc>
          <w:tcPr>
            <w:tcW w:w="1275" w:type="dxa"/>
            <w:tcBorders>
              <w:top w:val="nil"/>
              <w:left w:val="nil"/>
              <w:bottom w:val="single" w:sz="8" w:space="0" w:color="auto"/>
              <w:right w:val="single" w:sz="8" w:space="0" w:color="auto"/>
            </w:tcBorders>
            <w:shd w:val="clear" w:color="000000" w:fill="FFFFFF"/>
            <w:vAlign w:val="center"/>
            <w:hideMark/>
          </w:tcPr>
          <w:p w14:paraId="3DD97233"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2.409.208,33</w:t>
            </w:r>
          </w:p>
        </w:tc>
        <w:tc>
          <w:tcPr>
            <w:tcW w:w="1276" w:type="dxa"/>
            <w:gridSpan w:val="2"/>
            <w:tcBorders>
              <w:top w:val="nil"/>
              <w:left w:val="nil"/>
              <w:bottom w:val="single" w:sz="8" w:space="0" w:color="auto"/>
              <w:right w:val="single" w:sz="8" w:space="0" w:color="auto"/>
            </w:tcBorders>
            <w:shd w:val="clear" w:color="auto" w:fill="auto"/>
            <w:vAlign w:val="center"/>
            <w:hideMark/>
          </w:tcPr>
          <w:p w14:paraId="59FED6FB" w14:textId="77777777" w:rsidR="00E356BB" w:rsidRPr="00E356BB" w:rsidRDefault="00E356BB" w:rsidP="00E356BB">
            <w:pPr>
              <w:jc w:val="right"/>
              <w:rPr>
                <w:rFonts w:ascii="Calibri" w:hAnsi="Calibri"/>
                <w:sz w:val="18"/>
                <w:szCs w:val="18"/>
              </w:rPr>
            </w:pPr>
            <w:r w:rsidRPr="00E356BB">
              <w:rPr>
                <w:rFonts w:ascii="Calibri" w:hAnsi="Calibri"/>
                <w:sz w:val="18"/>
                <w:szCs w:val="18"/>
              </w:rPr>
              <w:t>6.604.399,47</w:t>
            </w:r>
          </w:p>
        </w:tc>
        <w:tc>
          <w:tcPr>
            <w:tcW w:w="1276" w:type="dxa"/>
            <w:tcBorders>
              <w:top w:val="nil"/>
              <w:left w:val="nil"/>
              <w:bottom w:val="single" w:sz="8" w:space="0" w:color="auto"/>
              <w:right w:val="single" w:sz="8" w:space="0" w:color="auto"/>
            </w:tcBorders>
            <w:shd w:val="clear" w:color="auto" w:fill="auto"/>
            <w:vAlign w:val="center"/>
            <w:hideMark/>
          </w:tcPr>
          <w:p w14:paraId="208A4DD3"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74D86E0B"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9.013.607,80</w:t>
            </w:r>
          </w:p>
        </w:tc>
        <w:tc>
          <w:tcPr>
            <w:tcW w:w="1134" w:type="dxa"/>
            <w:tcBorders>
              <w:top w:val="nil"/>
              <w:left w:val="nil"/>
              <w:bottom w:val="single" w:sz="8" w:space="0" w:color="auto"/>
              <w:right w:val="single" w:sz="8" w:space="0" w:color="auto"/>
            </w:tcBorders>
            <w:shd w:val="clear" w:color="000000" w:fill="FFFFFF"/>
            <w:vAlign w:val="center"/>
            <w:hideMark/>
          </w:tcPr>
          <w:p w14:paraId="2E028665"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33,38%</w:t>
            </w:r>
          </w:p>
        </w:tc>
      </w:tr>
      <w:tr w:rsidR="00E356BB" w:rsidRPr="00E356BB" w14:paraId="5A9BD154" w14:textId="77777777" w:rsidTr="009051D2">
        <w:trPr>
          <w:trHeight w:val="40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123579BD"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 xml:space="preserve">MF Banka a.d. Banja Luka  </w:t>
            </w:r>
          </w:p>
        </w:tc>
        <w:tc>
          <w:tcPr>
            <w:tcW w:w="1275" w:type="dxa"/>
            <w:tcBorders>
              <w:top w:val="nil"/>
              <w:left w:val="nil"/>
              <w:bottom w:val="single" w:sz="8" w:space="0" w:color="auto"/>
              <w:right w:val="single" w:sz="8" w:space="0" w:color="auto"/>
            </w:tcBorders>
            <w:shd w:val="clear" w:color="000000" w:fill="FFFFFF"/>
            <w:vAlign w:val="center"/>
            <w:hideMark/>
          </w:tcPr>
          <w:p w14:paraId="288BF598"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7.399.343,66</w:t>
            </w:r>
          </w:p>
        </w:tc>
        <w:tc>
          <w:tcPr>
            <w:tcW w:w="1276" w:type="dxa"/>
            <w:gridSpan w:val="2"/>
            <w:tcBorders>
              <w:top w:val="nil"/>
              <w:left w:val="nil"/>
              <w:bottom w:val="single" w:sz="8" w:space="0" w:color="auto"/>
              <w:right w:val="single" w:sz="8" w:space="0" w:color="auto"/>
            </w:tcBorders>
            <w:shd w:val="clear" w:color="auto" w:fill="auto"/>
            <w:vAlign w:val="center"/>
            <w:hideMark/>
          </w:tcPr>
          <w:p w14:paraId="1C5988F6" w14:textId="77777777" w:rsidR="00E356BB" w:rsidRPr="00E356BB" w:rsidRDefault="00E356BB" w:rsidP="00E356BB">
            <w:pPr>
              <w:jc w:val="right"/>
              <w:rPr>
                <w:rFonts w:ascii="Calibri" w:hAnsi="Calibri"/>
                <w:sz w:val="18"/>
                <w:szCs w:val="18"/>
              </w:rPr>
            </w:pPr>
            <w:r w:rsidRPr="00E356BB">
              <w:rPr>
                <w:rFonts w:ascii="Calibri" w:hAnsi="Calibri"/>
                <w:sz w:val="18"/>
                <w:szCs w:val="18"/>
              </w:rPr>
              <w:t>593.827,75</w:t>
            </w:r>
          </w:p>
        </w:tc>
        <w:tc>
          <w:tcPr>
            <w:tcW w:w="1276" w:type="dxa"/>
            <w:tcBorders>
              <w:top w:val="nil"/>
              <w:left w:val="nil"/>
              <w:bottom w:val="single" w:sz="8" w:space="0" w:color="auto"/>
              <w:right w:val="single" w:sz="8" w:space="0" w:color="auto"/>
            </w:tcBorders>
            <w:shd w:val="clear" w:color="auto" w:fill="auto"/>
            <w:vAlign w:val="center"/>
            <w:hideMark/>
          </w:tcPr>
          <w:p w14:paraId="31E7F672"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2AE64C48"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7.993.171,41</w:t>
            </w:r>
          </w:p>
        </w:tc>
        <w:tc>
          <w:tcPr>
            <w:tcW w:w="1134" w:type="dxa"/>
            <w:tcBorders>
              <w:top w:val="nil"/>
              <w:left w:val="nil"/>
              <w:bottom w:val="single" w:sz="8" w:space="0" w:color="auto"/>
              <w:right w:val="single" w:sz="8" w:space="0" w:color="auto"/>
            </w:tcBorders>
            <w:shd w:val="clear" w:color="000000" w:fill="FFFFFF"/>
            <w:vAlign w:val="center"/>
            <w:hideMark/>
          </w:tcPr>
          <w:p w14:paraId="600929F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29,60%</w:t>
            </w:r>
          </w:p>
        </w:tc>
      </w:tr>
      <w:tr w:rsidR="00E356BB" w:rsidRPr="00E356BB" w14:paraId="47D2433C" w14:textId="77777777" w:rsidTr="009051D2">
        <w:trPr>
          <w:trHeight w:val="40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26BA733C"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rPr>
              <w:t>Fond za razvoj i zapošljavanje RS a.d. Banja Luka</w:t>
            </w:r>
          </w:p>
        </w:tc>
        <w:tc>
          <w:tcPr>
            <w:tcW w:w="1275" w:type="dxa"/>
            <w:tcBorders>
              <w:top w:val="nil"/>
              <w:left w:val="nil"/>
              <w:bottom w:val="single" w:sz="8" w:space="0" w:color="auto"/>
              <w:right w:val="single" w:sz="8" w:space="0" w:color="auto"/>
            </w:tcBorders>
            <w:shd w:val="clear" w:color="000000" w:fill="FFFFFF"/>
            <w:vAlign w:val="center"/>
            <w:hideMark/>
          </w:tcPr>
          <w:p w14:paraId="59E397F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4.565.612,75</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0B49D066"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29CCA196"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2A5FCABD"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4.565.612,75</w:t>
            </w:r>
          </w:p>
        </w:tc>
        <w:tc>
          <w:tcPr>
            <w:tcW w:w="1134" w:type="dxa"/>
            <w:tcBorders>
              <w:top w:val="nil"/>
              <w:left w:val="nil"/>
              <w:bottom w:val="single" w:sz="8" w:space="0" w:color="auto"/>
              <w:right w:val="single" w:sz="8" w:space="0" w:color="auto"/>
            </w:tcBorders>
            <w:shd w:val="clear" w:color="000000" w:fill="FFFFFF"/>
            <w:vAlign w:val="center"/>
            <w:hideMark/>
          </w:tcPr>
          <w:p w14:paraId="37F186EF"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16,91%</w:t>
            </w:r>
          </w:p>
        </w:tc>
      </w:tr>
      <w:tr w:rsidR="00E356BB" w:rsidRPr="00E356BB" w14:paraId="4951233C"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86A286A"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rPr>
              <w:t xml:space="preserve">Nova banka a.d. Banja Luka </w:t>
            </w:r>
          </w:p>
        </w:tc>
        <w:tc>
          <w:tcPr>
            <w:tcW w:w="1275" w:type="dxa"/>
            <w:tcBorders>
              <w:top w:val="nil"/>
              <w:left w:val="nil"/>
              <w:bottom w:val="single" w:sz="8" w:space="0" w:color="auto"/>
              <w:right w:val="single" w:sz="8" w:space="0" w:color="auto"/>
            </w:tcBorders>
            <w:shd w:val="clear" w:color="auto" w:fill="auto"/>
            <w:vAlign w:val="center"/>
            <w:hideMark/>
          </w:tcPr>
          <w:p w14:paraId="4B9D5F9F"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3.145.029,40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F6A2CE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auto" w:fill="auto"/>
            <w:vAlign w:val="center"/>
            <w:hideMark/>
          </w:tcPr>
          <w:p w14:paraId="574A7BF4"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5F822338"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3.145.029,40</w:t>
            </w:r>
          </w:p>
        </w:tc>
        <w:tc>
          <w:tcPr>
            <w:tcW w:w="1134" w:type="dxa"/>
            <w:tcBorders>
              <w:top w:val="nil"/>
              <w:left w:val="nil"/>
              <w:bottom w:val="single" w:sz="8" w:space="0" w:color="auto"/>
              <w:right w:val="single" w:sz="8" w:space="0" w:color="auto"/>
            </w:tcBorders>
            <w:shd w:val="clear" w:color="000000" w:fill="FFFFFF"/>
            <w:vAlign w:val="center"/>
            <w:hideMark/>
          </w:tcPr>
          <w:p w14:paraId="1E8E048C"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11,65%</w:t>
            </w:r>
          </w:p>
        </w:tc>
      </w:tr>
      <w:tr w:rsidR="00E356BB" w:rsidRPr="00E356BB" w14:paraId="5CF26347"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hideMark/>
          </w:tcPr>
          <w:p w14:paraId="48C18D5D"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rPr>
              <w:t>Centralni registar hartija od vrijednosti a.d. Banja Luka</w:t>
            </w:r>
          </w:p>
        </w:tc>
        <w:tc>
          <w:tcPr>
            <w:tcW w:w="1275" w:type="dxa"/>
            <w:tcBorders>
              <w:top w:val="nil"/>
              <w:left w:val="nil"/>
              <w:bottom w:val="single" w:sz="8" w:space="0" w:color="auto"/>
              <w:right w:val="single" w:sz="8" w:space="0" w:color="auto"/>
            </w:tcBorders>
            <w:shd w:val="clear" w:color="auto" w:fill="auto"/>
            <w:noWrap/>
            <w:vAlign w:val="center"/>
            <w:hideMark/>
          </w:tcPr>
          <w:p w14:paraId="4458F716" w14:textId="77777777" w:rsidR="00E356BB" w:rsidRPr="00E356BB" w:rsidRDefault="00E356BB" w:rsidP="00E356BB">
            <w:pPr>
              <w:jc w:val="right"/>
              <w:rPr>
                <w:rFonts w:ascii="Calibri" w:hAnsi="Calibri"/>
                <w:sz w:val="18"/>
                <w:szCs w:val="18"/>
              </w:rPr>
            </w:pPr>
            <w:r w:rsidRPr="00E356BB">
              <w:rPr>
                <w:rFonts w:ascii="Calibri" w:hAnsi="Calibri"/>
                <w:sz w:val="18"/>
                <w:szCs w:val="18"/>
              </w:rPr>
              <w:t>0,00</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240BD9B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75AC0955" w14:textId="77777777" w:rsidR="00E356BB" w:rsidRPr="00E356BB" w:rsidRDefault="00E356BB" w:rsidP="00E356BB">
            <w:pPr>
              <w:jc w:val="right"/>
              <w:rPr>
                <w:rFonts w:ascii="Calibri" w:hAnsi="Calibri"/>
                <w:sz w:val="18"/>
                <w:szCs w:val="18"/>
              </w:rPr>
            </w:pPr>
            <w:r w:rsidRPr="00E356BB">
              <w:rPr>
                <w:rFonts w:ascii="Calibri" w:hAnsi="Calibri"/>
                <w:sz w:val="18"/>
                <w:szCs w:val="18"/>
              </w:rPr>
              <w:t>2.453.855,02</w:t>
            </w:r>
          </w:p>
        </w:tc>
        <w:tc>
          <w:tcPr>
            <w:tcW w:w="1134" w:type="dxa"/>
            <w:tcBorders>
              <w:top w:val="nil"/>
              <w:left w:val="nil"/>
              <w:bottom w:val="single" w:sz="8" w:space="0" w:color="auto"/>
              <w:right w:val="single" w:sz="8" w:space="0" w:color="auto"/>
            </w:tcBorders>
            <w:shd w:val="clear" w:color="000000" w:fill="FFFFFF"/>
            <w:vAlign w:val="center"/>
            <w:hideMark/>
          </w:tcPr>
          <w:p w14:paraId="63EF097F"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2.453.855,02</w:t>
            </w:r>
          </w:p>
        </w:tc>
        <w:tc>
          <w:tcPr>
            <w:tcW w:w="1134" w:type="dxa"/>
            <w:tcBorders>
              <w:top w:val="nil"/>
              <w:left w:val="nil"/>
              <w:bottom w:val="single" w:sz="8" w:space="0" w:color="auto"/>
              <w:right w:val="single" w:sz="8" w:space="0" w:color="auto"/>
            </w:tcBorders>
            <w:shd w:val="clear" w:color="000000" w:fill="FFFFFF"/>
            <w:vAlign w:val="center"/>
            <w:hideMark/>
          </w:tcPr>
          <w:p w14:paraId="644C44A5"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9,09%</w:t>
            </w:r>
          </w:p>
        </w:tc>
      </w:tr>
      <w:tr w:rsidR="00E356BB" w:rsidRPr="00E356BB" w14:paraId="456FAF97"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59D785DD"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 xml:space="preserve">Unicredit bank a.d.. Banja Luka  </w:t>
            </w:r>
          </w:p>
        </w:tc>
        <w:tc>
          <w:tcPr>
            <w:tcW w:w="1275" w:type="dxa"/>
            <w:tcBorders>
              <w:top w:val="nil"/>
              <w:left w:val="nil"/>
              <w:bottom w:val="single" w:sz="8" w:space="0" w:color="auto"/>
              <w:right w:val="single" w:sz="8" w:space="0" w:color="auto"/>
            </w:tcBorders>
            <w:shd w:val="clear" w:color="000000" w:fill="FFFFFF"/>
            <w:vAlign w:val="center"/>
            <w:hideMark/>
          </w:tcPr>
          <w:p w14:paraId="3C375EC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453.728,21</w:t>
            </w:r>
          </w:p>
        </w:tc>
        <w:tc>
          <w:tcPr>
            <w:tcW w:w="1276" w:type="dxa"/>
            <w:gridSpan w:val="2"/>
            <w:tcBorders>
              <w:top w:val="nil"/>
              <w:left w:val="nil"/>
              <w:bottom w:val="single" w:sz="8" w:space="0" w:color="auto"/>
              <w:right w:val="single" w:sz="8" w:space="0" w:color="auto"/>
            </w:tcBorders>
            <w:shd w:val="clear" w:color="auto" w:fill="auto"/>
            <w:vAlign w:val="center"/>
            <w:hideMark/>
          </w:tcPr>
          <w:p w14:paraId="333BDCEC" w14:textId="77777777" w:rsidR="00E356BB" w:rsidRPr="00E356BB" w:rsidRDefault="00E356BB" w:rsidP="00E356BB">
            <w:pPr>
              <w:jc w:val="right"/>
              <w:rPr>
                <w:rFonts w:ascii="Calibri" w:hAnsi="Calibri"/>
                <w:sz w:val="18"/>
                <w:szCs w:val="18"/>
              </w:rPr>
            </w:pPr>
            <w:r w:rsidRPr="00E356BB">
              <w:rPr>
                <w:rFonts w:ascii="Calibri" w:hAnsi="Calibri"/>
                <w:sz w:val="18"/>
                <w:szCs w:val="18"/>
              </w:rPr>
              <w:t>1.642.639,92</w:t>
            </w:r>
          </w:p>
        </w:tc>
        <w:tc>
          <w:tcPr>
            <w:tcW w:w="1276" w:type="dxa"/>
            <w:tcBorders>
              <w:top w:val="nil"/>
              <w:left w:val="nil"/>
              <w:bottom w:val="single" w:sz="8" w:space="0" w:color="auto"/>
              <w:right w:val="single" w:sz="8" w:space="0" w:color="auto"/>
            </w:tcBorders>
            <w:shd w:val="clear" w:color="auto" w:fill="auto"/>
            <w:vAlign w:val="center"/>
            <w:hideMark/>
          </w:tcPr>
          <w:p w14:paraId="1A97216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32E933D3"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2.096.368,13</w:t>
            </w:r>
          </w:p>
        </w:tc>
        <w:tc>
          <w:tcPr>
            <w:tcW w:w="1134" w:type="dxa"/>
            <w:tcBorders>
              <w:top w:val="nil"/>
              <w:left w:val="nil"/>
              <w:bottom w:val="single" w:sz="8" w:space="0" w:color="auto"/>
              <w:right w:val="single" w:sz="8" w:space="0" w:color="auto"/>
            </w:tcBorders>
            <w:shd w:val="clear" w:color="000000" w:fill="FFFFFF"/>
            <w:vAlign w:val="center"/>
            <w:hideMark/>
          </w:tcPr>
          <w:p w14:paraId="3776037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7,76%</w:t>
            </w:r>
          </w:p>
        </w:tc>
      </w:tr>
      <w:tr w:rsidR="00E356BB" w:rsidRPr="00E356BB" w14:paraId="7EDC639B"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8B01902" w14:textId="25805A0E"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B</w:t>
            </w:r>
            <w:r w:rsidR="00210474">
              <w:rPr>
                <w:rFonts w:ascii="Calibri" w:hAnsi="Calibri"/>
                <w:color w:val="auto"/>
                <w:sz w:val="18"/>
                <w:szCs w:val="18"/>
              </w:rPr>
              <w:t>PŠ</w:t>
            </w:r>
            <w:r w:rsidRPr="00E356BB">
              <w:rPr>
                <w:rFonts w:ascii="Calibri" w:hAnsi="Calibri"/>
                <w:color w:val="auto"/>
                <w:sz w:val="18"/>
                <w:szCs w:val="18"/>
              </w:rPr>
              <w:t xml:space="preserve"> banka a.d. Banja Luka  </w:t>
            </w:r>
          </w:p>
        </w:tc>
        <w:tc>
          <w:tcPr>
            <w:tcW w:w="1275" w:type="dxa"/>
            <w:tcBorders>
              <w:top w:val="nil"/>
              <w:left w:val="nil"/>
              <w:bottom w:val="single" w:sz="8" w:space="0" w:color="auto"/>
              <w:right w:val="single" w:sz="8" w:space="0" w:color="auto"/>
            </w:tcBorders>
            <w:shd w:val="clear" w:color="auto" w:fill="auto"/>
            <w:vAlign w:val="center"/>
            <w:hideMark/>
          </w:tcPr>
          <w:p w14:paraId="46BC43CF"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732.607,30</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3F822D1F"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0009DEB3"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15B123BD" w14:textId="77777777" w:rsidR="00E356BB" w:rsidRPr="00E356BB" w:rsidRDefault="00E356BB" w:rsidP="00E356BB">
            <w:pPr>
              <w:ind w:right="-108"/>
              <w:jc w:val="right"/>
              <w:rPr>
                <w:rFonts w:ascii="Calibri" w:hAnsi="Calibri"/>
                <w:color w:val="auto"/>
                <w:sz w:val="18"/>
                <w:szCs w:val="18"/>
              </w:rPr>
            </w:pPr>
            <w:r w:rsidRPr="00E356BB">
              <w:rPr>
                <w:rFonts w:ascii="Calibri" w:hAnsi="Calibri"/>
                <w:color w:val="auto"/>
                <w:sz w:val="18"/>
                <w:szCs w:val="18"/>
              </w:rPr>
              <w:t>732.607,30</w:t>
            </w:r>
          </w:p>
        </w:tc>
        <w:tc>
          <w:tcPr>
            <w:tcW w:w="1134" w:type="dxa"/>
            <w:tcBorders>
              <w:top w:val="nil"/>
              <w:left w:val="nil"/>
              <w:bottom w:val="single" w:sz="8" w:space="0" w:color="auto"/>
              <w:right w:val="single" w:sz="8" w:space="0" w:color="auto"/>
            </w:tcBorders>
            <w:shd w:val="clear" w:color="000000" w:fill="FFFFFF"/>
            <w:vAlign w:val="center"/>
            <w:hideMark/>
          </w:tcPr>
          <w:p w14:paraId="47B4D1A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2,71%</w:t>
            </w:r>
          </w:p>
        </w:tc>
      </w:tr>
      <w:tr w:rsidR="00E356BB" w:rsidRPr="00E356BB" w14:paraId="311D2883"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7E61ACE" w14:textId="67002E11"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At</w:t>
            </w:r>
            <w:r w:rsidR="00210474">
              <w:rPr>
                <w:rFonts w:ascii="Calibri" w:hAnsi="Calibri"/>
                <w:color w:val="auto"/>
                <w:sz w:val="18"/>
                <w:szCs w:val="18"/>
              </w:rPr>
              <w:t>os</w:t>
            </w:r>
            <w:r w:rsidRPr="00E356BB">
              <w:rPr>
                <w:rFonts w:ascii="Calibri" w:hAnsi="Calibri"/>
                <w:color w:val="auto"/>
                <w:sz w:val="18"/>
                <w:szCs w:val="18"/>
              </w:rPr>
              <w:t xml:space="preserve"> bank a.d. Banja Luka  </w:t>
            </w:r>
          </w:p>
        </w:tc>
        <w:tc>
          <w:tcPr>
            <w:tcW w:w="1275" w:type="dxa"/>
            <w:tcBorders>
              <w:top w:val="nil"/>
              <w:left w:val="nil"/>
              <w:bottom w:val="single" w:sz="8" w:space="0" w:color="auto"/>
              <w:right w:val="single" w:sz="8" w:space="0" w:color="auto"/>
            </w:tcBorders>
            <w:shd w:val="clear" w:color="auto" w:fill="auto"/>
            <w:vAlign w:val="center"/>
            <w:hideMark/>
          </w:tcPr>
          <w:p w14:paraId="019F4774"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426.930,74</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5684CEDB"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40009DB9"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72AF924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426.930,74</w:t>
            </w:r>
          </w:p>
        </w:tc>
        <w:tc>
          <w:tcPr>
            <w:tcW w:w="1134" w:type="dxa"/>
            <w:tcBorders>
              <w:top w:val="nil"/>
              <w:left w:val="nil"/>
              <w:bottom w:val="single" w:sz="8" w:space="0" w:color="auto"/>
              <w:right w:val="single" w:sz="8" w:space="0" w:color="auto"/>
            </w:tcBorders>
            <w:shd w:val="clear" w:color="000000" w:fill="FFFFFF"/>
            <w:vAlign w:val="center"/>
            <w:hideMark/>
          </w:tcPr>
          <w:p w14:paraId="548C9AD8"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1,58%</w:t>
            </w:r>
          </w:p>
        </w:tc>
      </w:tr>
      <w:tr w:rsidR="00E356BB" w:rsidRPr="00E356BB" w14:paraId="266AD0BC" w14:textId="77777777" w:rsidTr="009051D2">
        <w:trPr>
          <w:trHeight w:val="30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46A7ED7A"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Banka srpske u stečaju a.d. Banja Luka</w:t>
            </w:r>
          </w:p>
        </w:tc>
        <w:tc>
          <w:tcPr>
            <w:tcW w:w="1275" w:type="dxa"/>
            <w:tcBorders>
              <w:top w:val="nil"/>
              <w:left w:val="nil"/>
              <w:bottom w:val="single" w:sz="8" w:space="0" w:color="auto"/>
              <w:right w:val="single" w:sz="8" w:space="0" w:color="auto"/>
            </w:tcBorders>
            <w:shd w:val="clear" w:color="auto" w:fill="auto"/>
            <w:vAlign w:val="center"/>
            <w:hideMark/>
          </w:tcPr>
          <w:p w14:paraId="334E2A8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91.660,40</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58C2424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2F75715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4789DE63"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91.660,40</w:t>
            </w:r>
          </w:p>
        </w:tc>
        <w:tc>
          <w:tcPr>
            <w:tcW w:w="1134" w:type="dxa"/>
            <w:tcBorders>
              <w:top w:val="nil"/>
              <w:left w:val="nil"/>
              <w:bottom w:val="single" w:sz="8" w:space="0" w:color="auto"/>
              <w:right w:val="single" w:sz="8" w:space="0" w:color="auto"/>
            </w:tcBorders>
            <w:shd w:val="clear" w:color="000000" w:fill="FFFFFF"/>
            <w:vAlign w:val="center"/>
            <w:hideMark/>
          </w:tcPr>
          <w:p w14:paraId="0F255642"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0,34%</w:t>
            </w:r>
          </w:p>
        </w:tc>
      </w:tr>
      <w:tr w:rsidR="00E356BB" w:rsidRPr="00E356BB" w14:paraId="5AF89C81" w14:textId="77777777" w:rsidTr="009051D2">
        <w:trPr>
          <w:trHeight w:val="42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AD67CF5"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Naša banka a.d. Bijeljina</w:t>
            </w:r>
          </w:p>
        </w:tc>
        <w:tc>
          <w:tcPr>
            <w:tcW w:w="1275" w:type="dxa"/>
            <w:tcBorders>
              <w:top w:val="nil"/>
              <w:left w:val="nil"/>
              <w:bottom w:val="single" w:sz="8" w:space="0" w:color="auto"/>
              <w:right w:val="single" w:sz="8" w:space="0" w:color="auto"/>
            </w:tcBorders>
            <w:shd w:val="clear" w:color="auto" w:fill="auto"/>
            <w:vAlign w:val="center"/>
            <w:hideMark/>
          </w:tcPr>
          <w:p w14:paraId="4184B9D7"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72.199,86</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1BDA4A3E"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205EFDE6"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773F1E11"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72.199,86</w:t>
            </w:r>
          </w:p>
        </w:tc>
        <w:tc>
          <w:tcPr>
            <w:tcW w:w="1134" w:type="dxa"/>
            <w:tcBorders>
              <w:top w:val="nil"/>
              <w:left w:val="nil"/>
              <w:bottom w:val="single" w:sz="8" w:space="0" w:color="auto"/>
              <w:right w:val="single" w:sz="8" w:space="0" w:color="auto"/>
            </w:tcBorders>
            <w:shd w:val="clear" w:color="000000" w:fill="FFFFFF"/>
            <w:vAlign w:val="center"/>
            <w:hideMark/>
          </w:tcPr>
          <w:p w14:paraId="4B717740"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0,27%</w:t>
            </w:r>
          </w:p>
        </w:tc>
      </w:tr>
      <w:tr w:rsidR="00E356BB" w:rsidRPr="00E356BB" w14:paraId="4B34E449" w14:textId="77777777" w:rsidTr="009051D2">
        <w:trPr>
          <w:trHeight w:val="315"/>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E98DAEE" w14:textId="77777777" w:rsidR="00E356BB" w:rsidRPr="00E356BB" w:rsidRDefault="00E356BB" w:rsidP="00E356BB">
            <w:pPr>
              <w:rPr>
                <w:rFonts w:ascii="Calibri" w:hAnsi="Calibri"/>
                <w:color w:val="auto"/>
                <w:sz w:val="18"/>
                <w:szCs w:val="18"/>
              </w:rPr>
            </w:pPr>
            <w:r w:rsidRPr="00E356BB">
              <w:rPr>
                <w:rFonts w:ascii="Calibri" w:hAnsi="Calibri"/>
                <w:color w:val="auto"/>
                <w:sz w:val="18"/>
                <w:szCs w:val="18"/>
              </w:rPr>
              <w:t>Nlb razvojna banka a.d. Banja Luka</w:t>
            </w:r>
          </w:p>
        </w:tc>
        <w:tc>
          <w:tcPr>
            <w:tcW w:w="1275" w:type="dxa"/>
            <w:tcBorders>
              <w:top w:val="nil"/>
              <w:left w:val="nil"/>
              <w:bottom w:val="single" w:sz="8" w:space="0" w:color="auto"/>
              <w:right w:val="single" w:sz="8" w:space="0" w:color="auto"/>
            </w:tcBorders>
            <w:shd w:val="clear" w:color="auto" w:fill="auto"/>
            <w:vAlign w:val="center"/>
            <w:hideMark/>
          </w:tcPr>
          <w:p w14:paraId="19139CA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65.240,47</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206E65E0"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464711B9"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2F7FCDC2"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65.240,47</w:t>
            </w:r>
          </w:p>
        </w:tc>
        <w:tc>
          <w:tcPr>
            <w:tcW w:w="1134" w:type="dxa"/>
            <w:tcBorders>
              <w:top w:val="nil"/>
              <w:left w:val="nil"/>
              <w:bottom w:val="single" w:sz="8" w:space="0" w:color="auto"/>
              <w:right w:val="single" w:sz="8" w:space="0" w:color="auto"/>
            </w:tcBorders>
            <w:shd w:val="clear" w:color="000000" w:fill="FFFFFF"/>
            <w:vAlign w:val="center"/>
            <w:hideMark/>
          </w:tcPr>
          <w:p w14:paraId="5505665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0,24%</w:t>
            </w:r>
          </w:p>
        </w:tc>
      </w:tr>
      <w:tr w:rsidR="00E356BB" w:rsidRPr="00E356BB" w14:paraId="512C4568"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4726B0F1" w14:textId="77777777" w:rsidR="00E356BB" w:rsidRPr="00E356BB" w:rsidRDefault="00E356BB" w:rsidP="00E356BB">
            <w:pPr>
              <w:jc w:val="left"/>
              <w:rPr>
                <w:rFonts w:ascii="Calibri" w:hAnsi="Calibri"/>
                <w:color w:val="auto"/>
                <w:sz w:val="18"/>
                <w:szCs w:val="18"/>
              </w:rPr>
            </w:pPr>
            <w:r w:rsidRPr="00E356BB">
              <w:rPr>
                <w:rFonts w:ascii="Calibri" w:hAnsi="Calibri"/>
                <w:color w:val="auto"/>
                <w:sz w:val="18"/>
                <w:szCs w:val="18"/>
              </w:rPr>
              <w:t xml:space="preserve">Ziraat Bank Bosnia d.d. Sarajevo  </w:t>
            </w:r>
          </w:p>
        </w:tc>
        <w:tc>
          <w:tcPr>
            <w:tcW w:w="1275" w:type="dxa"/>
            <w:tcBorders>
              <w:top w:val="nil"/>
              <w:left w:val="nil"/>
              <w:bottom w:val="single" w:sz="8" w:space="0" w:color="auto"/>
              <w:right w:val="single" w:sz="8" w:space="0" w:color="auto"/>
            </w:tcBorders>
            <w:shd w:val="clear" w:color="auto" w:fill="auto"/>
            <w:vAlign w:val="center"/>
            <w:hideMark/>
          </w:tcPr>
          <w:p w14:paraId="325EE106"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52.687,09</w:t>
            </w:r>
          </w:p>
        </w:tc>
        <w:tc>
          <w:tcPr>
            <w:tcW w:w="1276" w:type="dxa"/>
            <w:gridSpan w:val="2"/>
            <w:tcBorders>
              <w:top w:val="nil"/>
              <w:left w:val="nil"/>
              <w:bottom w:val="single" w:sz="8" w:space="0" w:color="auto"/>
              <w:right w:val="single" w:sz="8" w:space="0" w:color="auto"/>
            </w:tcBorders>
            <w:shd w:val="clear" w:color="000000" w:fill="FFFFFF"/>
            <w:vAlign w:val="center"/>
            <w:hideMark/>
          </w:tcPr>
          <w:p w14:paraId="7CEB63F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276" w:type="dxa"/>
            <w:tcBorders>
              <w:top w:val="nil"/>
              <w:left w:val="nil"/>
              <w:bottom w:val="single" w:sz="8" w:space="0" w:color="auto"/>
              <w:right w:val="single" w:sz="8" w:space="0" w:color="auto"/>
            </w:tcBorders>
            <w:shd w:val="clear" w:color="000000" w:fill="FFFFFF"/>
            <w:vAlign w:val="center"/>
            <w:hideMark/>
          </w:tcPr>
          <w:p w14:paraId="6D67E5AE"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14:paraId="45E33F51"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52.687,09</w:t>
            </w:r>
          </w:p>
        </w:tc>
        <w:tc>
          <w:tcPr>
            <w:tcW w:w="1134" w:type="dxa"/>
            <w:tcBorders>
              <w:top w:val="nil"/>
              <w:left w:val="nil"/>
              <w:bottom w:val="single" w:sz="8" w:space="0" w:color="auto"/>
              <w:right w:val="single" w:sz="8" w:space="0" w:color="auto"/>
            </w:tcBorders>
            <w:shd w:val="clear" w:color="000000" w:fill="FFFFFF"/>
            <w:vAlign w:val="center"/>
            <w:hideMark/>
          </w:tcPr>
          <w:p w14:paraId="3A00F10D" w14:textId="77777777" w:rsidR="00E356BB" w:rsidRPr="00E356BB" w:rsidRDefault="00E356BB" w:rsidP="00E356BB">
            <w:pPr>
              <w:jc w:val="right"/>
              <w:rPr>
                <w:rFonts w:ascii="Calibri" w:hAnsi="Calibri"/>
                <w:color w:val="auto"/>
                <w:sz w:val="18"/>
                <w:szCs w:val="18"/>
              </w:rPr>
            </w:pPr>
            <w:r w:rsidRPr="00E356BB">
              <w:rPr>
                <w:rFonts w:ascii="Calibri" w:hAnsi="Calibri"/>
                <w:color w:val="auto"/>
                <w:sz w:val="18"/>
                <w:szCs w:val="18"/>
              </w:rPr>
              <w:t>0,20%</w:t>
            </w:r>
          </w:p>
        </w:tc>
      </w:tr>
      <w:tr w:rsidR="00E356BB" w:rsidRPr="00E356BB" w14:paraId="2ABE41E8" w14:textId="77777777" w:rsidTr="009051D2">
        <w:trPr>
          <w:trHeight w:val="330"/>
        </w:trPr>
        <w:tc>
          <w:tcPr>
            <w:tcW w:w="2709" w:type="dxa"/>
            <w:gridSpan w:val="3"/>
            <w:tcBorders>
              <w:top w:val="single" w:sz="8" w:space="0" w:color="auto"/>
              <w:left w:val="single" w:sz="8" w:space="0" w:color="auto"/>
              <w:bottom w:val="single" w:sz="8" w:space="0" w:color="auto"/>
              <w:right w:val="single" w:sz="8" w:space="0" w:color="000000"/>
            </w:tcBorders>
            <w:shd w:val="clear" w:color="000000" w:fill="8DB4E2"/>
            <w:vAlign w:val="center"/>
            <w:hideMark/>
          </w:tcPr>
          <w:p w14:paraId="2A6F7DC6" w14:textId="0BA69C7B" w:rsidR="00E356BB" w:rsidRPr="00E356BB" w:rsidRDefault="00210474" w:rsidP="00E356BB">
            <w:pPr>
              <w:jc w:val="center"/>
              <w:rPr>
                <w:rFonts w:ascii="Calibri" w:hAnsi="Calibri"/>
                <w:b/>
                <w:bCs/>
                <w:color w:val="auto"/>
                <w:sz w:val="18"/>
                <w:szCs w:val="18"/>
              </w:rPr>
            </w:pPr>
            <w:r>
              <w:rPr>
                <w:rFonts w:ascii="Calibri" w:hAnsi="Calibri"/>
                <w:b/>
                <w:bCs/>
                <w:color w:val="auto"/>
                <w:sz w:val="18"/>
                <w:szCs w:val="18"/>
              </w:rPr>
              <w:t>UKUPNO</w:t>
            </w:r>
          </w:p>
        </w:tc>
        <w:tc>
          <w:tcPr>
            <w:tcW w:w="1275" w:type="dxa"/>
            <w:tcBorders>
              <w:top w:val="nil"/>
              <w:left w:val="nil"/>
              <w:bottom w:val="single" w:sz="8" w:space="0" w:color="auto"/>
              <w:right w:val="single" w:sz="8" w:space="0" w:color="auto"/>
            </w:tcBorders>
            <w:shd w:val="clear" w:color="000000" w:fill="8DB4E2"/>
            <w:vAlign w:val="center"/>
            <w:hideMark/>
          </w:tcPr>
          <w:p w14:paraId="1238EA5A" w14:textId="77777777" w:rsidR="00E356BB" w:rsidRPr="00E356BB" w:rsidRDefault="00E356BB" w:rsidP="00E356BB">
            <w:pPr>
              <w:ind w:left="-108" w:right="-108"/>
              <w:jc w:val="right"/>
              <w:rPr>
                <w:rFonts w:ascii="Calibri" w:hAnsi="Calibri"/>
                <w:b/>
                <w:bCs/>
                <w:color w:val="auto"/>
                <w:sz w:val="18"/>
                <w:szCs w:val="18"/>
              </w:rPr>
            </w:pPr>
            <w:r w:rsidRPr="00E356BB">
              <w:rPr>
                <w:rFonts w:ascii="Calibri" w:hAnsi="Calibri"/>
                <w:b/>
                <w:bCs/>
                <w:color w:val="auto"/>
                <w:sz w:val="18"/>
                <w:szCs w:val="18"/>
              </w:rPr>
              <w:t>19.414.248,21</w:t>
            </w:r>
          </w:p>
        </w:tc>
        <w:tc>
          <w:tcPr>
            <w:tcW w:w="1276" w:type="dxa"/>
            <w:gridSpan w:val="2"/>
            <w:tcBorders>
              <w:top w:val="nil"/>
              <w:left w:val="nil"/>
              <w:bottom w:val="single" w:sz="8" w:space="0" w:color="auto"/>
              <w:right w:val="single" w:sz="8" w:space="0" w:color="auto"/>
            </w:tcBorders>
            <w:shd w:val="clear" w:color="000000" w:fill="8DB4E2"/>
            <w:vAlign w:val="center"/>
            <w:hideMark/>
          </w:tcPr>
          <w:p w14:paraId="2C8334DF" w14:textId="77777777" w:rsidR="00E356BB" w:rsidRPr="00E356BB" w:rsidRDefault="00E356BB" w:rsidP="00E356BB">
            <w:pPr>
              <w:jc w:val="right"/>
              <w:rPr>
                <w:rFonts w:ascii="Calibri" w:hAnsi="Calibri"/>
                <w:b/>
                <w:bCs/>
                <w:color w:val="auto"/>
                <w:sz w:val="18"/>
                <w:szCs w:val="18"/>
              </w:rPr>
            </w:pPr>
            <w:r w:rsidRPr="00E356BB">
              <w:rPr>
                <w:rFonts w:ascii="Calibri" w:hAnsi="Calibri"/>
                <w:b/>
                <w:bCs/>
                <w:color w:val="auto"/>
                <w:sz w:val="18"/>
                <w:szCs w:val="18"/>
              </w:rPr>
              <w:t>8.840.867,14</w:t>
            </w:r>
          </w:p>
        </w:tc>
        <w:tc>
          <w:tcPr>
            <w:tcW w:w="1276" w:type="dxa"/>
            <w:tcBorders>
              <w:top w:val="nil"/>
              <w:left w:val="nil"/>
              <w:bottom w:val="single" w:sz="8" w:space="0" w:color="auto"/>
              <w:right w:val="single" w:sz="8" w:space="0" w:color="auto"/>
            </w:tcBorders>
            <w:shd w:val="clear" w:color="000000" w:fill="8DB4E2"/>
            <w:vAlign w:val="center"/>
            <w:hideMark/>
          </w:tcPr>
          <w:p w14:paraId="40900F00" w14:textId="77777777" w:rsidR="00E356BB" w:rsidRPr="00E356BB" w:rsidRDefault="00E356BB" w:rsidP="00E356BB">
            <w:pPr>
              <w:jc w:val="right"/>
              <w:rPr>
                <w:rFonts w:ascii="Calibri" w:hAnsi="Calibri"/>
                <w:b/>
                <w:bCs/>
                <w:sz w:val="18"/>
                <w:szCs w:val="18"/>
              </w:rPr>
            </w:pPr>
            <w:r w:rsidRPr="00E356BB">
              <w:rPr>
                <w:rFonts w:ascii="Calibri" w:hAnsi="Calibri"/>
                <w:b/>
                <w:bCs/>
                <w:sz w:val="18"/>
                <w:szCs w:val="18"/>
              </w:rPr>
              <w:t>2.453.855,02</w:t>
            </w:r>
          </w:p>
        </w:tc>
        <w:tc>
          <w:tcPr>
            <w:tcW w:w="1134" w:type="dxa"/>
            <w:tcBorders>
              <w:top w:val="nil"/>
              <w:left w:val="nil"/>
              <w:bottom w:val="single" w:sz="8" w:space="0" w:color="auto"/>
              <w:right w:val="single" w:sz="8" w:space="0" w:color="auto"/>
            </w:tcBorders>
            <w:shd w:val="clear" w:color="000000" w:fill="8DB4E2"/>
            <w:vAlign w:val="center"/>
            <w:hideMark/>
          </w:tcPr>
          <w:p w14:paraId="719C517B" w14:textId="77777777" w:rsidR="00E356BB" w:rsidRPr="00E356BB" w:rsidRDefault="00E356BB" w:rsidP="00E356BB">
            <w:pPr>
              <w:ind w:left="-108" w:right="-108"/>
              <w:jc w:val="right"/>
              <w:rPr>
                <w:rFonts w:ascii="Calibri" w:hAnsi="Calibri"/>
                <w:b/>
                <w:bCs/>
                <w:color w:val="auto"/>
                <w:sz w:val="18"/>
                <w:szCs w:val="18"/>
              </w:rPr>
            </w:pPr>
            <w:r w:rsidRPr="00E356BB">
              <w:rPr>
                <w:rFonts w:ascii="Calibri" w:hAnsi="Calibri"/>
                <w:b/>
                <w:bCs/>
                <w:color w:val="auto"/>
                <w:sz w:val="18"/>
                <w:szCs w:val="18"/>
              </w:rPr>
              <w:t>30.708.970,37</w:t>
            </w:r>
          </w:p>
        </w:tc>
        <w:tc>
          <w:tcPr>
            <w:tcW w:w="1134" w:type="dxa"/>
            <w:tcBorders>
              <w:top w:val="nil"/>
              <w:left w:val="nil"/>
              <w:bottom w:val="single" w:sz="8" w:space="0" w:color="auto"/>
              <w:right w:val="single" w:sz="8" w:space="0" w:color="auto"/>
            </w:tcBorders>
            <w:shd w:val="clear" w:color="000000" w:fill="8DB4E2"/>
            <w:vAlign w:val="center"/>
            <w:hideMark/>
          </w:tcPr>
          <w:p w14:paraId="14EEDDC3" w14:textId="77777777" w:rsidR="00E356BB" w:rsidRPr="00E356BB" w:rsidRDefault="00E356BB" w:rsidP="00E356BB">
            <w:pPr>
              <w:jc w:val="right"/>
              <w:rPr>
                <w:rFonts w:ascii="Calibri" w:hAnsi="Calibri"/>
                <w:b/>
                <w:bCs/>
                <w:color w:val="auto"/>
                <w:sz w:val="18"/>
                <w:szCs w:val="18"/>
              </w:rPr>
            </w:pPr>
            <w:r w:rsidRPr="00E356BB">
              <w:rPr>
                <w:rFonts w:ascii="Calibri" w:hAnsi="Calibri"/>
                <w:b/>
                <w:bCs/>
                <w:color w:val="auto"/>
                <w:sz w:val="18"/>
                <w:szCs w:val="18"/>
              </w:rPr>
              <w:t> </w:t>
            </w:r>
          </w:p>
        </w:tc>
      </w:tr>
    </w:tbl>
    <w:p w14:paraId="5FF3205F" w14:textId="77777777" w:rsidR="00A944C8" w:rsidRPr="00F7504C" w:rsidRDefault="00A944C8" w:rsidP="00A944C8">
      <w:pPr>
        <w:autoSpaceDE w:val="0"/>
        <w:autoSpaceDN w:val="0"/>
        <w:adjustRightInd w:val="0"/>
        <w:rPr>
          <w:rFonts w:asciiTheme="minorHAnsi" w:eastAsiaTheme="minorHAnsi" w:hAnsiTheme="minorHAnsi"/>
          <w:color w:val="FF0000"/>
          <w:sz w:val="20"/>
          <w:szCs w:val="20"/>
          <w:lang w:val="sr-Cyrl-RS" w:eastAsia="en-US"/>
        </w:rPr>
      </w:pPr>
    </w:p>
    <w:p w14:paraId="0D2DB41B" w14:textId="77777777" w:rsidR="009051D2" w:rsidRDefault="009051D2" w:rsidP="00A944C8">
      <w:pPr>
        <w:autoSpaceDE w:val="0"/>
        <w:autoSpaceDN w:val="0"/>
        <w:adjustRightInd w:val="0"/>
        <w:rPr>
          <w:rFonts w:asciiTheme="minorHAnsi" w:eastAsiaTheme="minorHAnsi" w:hAnsiTheme="minorHAnsi"/>
          <w:color w:val="auto"/>
          <w:sz w:val="20"/>
          <w:szCs w:val="20"/>
          <w:lang w:val="sr-Latn-BA" w:eastAsia="en-US"/>
        </w:rPr>
      </w:pPr>
    </w:p>
    <w:p w14:paraId="1436C0E5" w14:textId="77777777" w:rsidR="00DE45EF" w:rsidRDefault="00DE45EF" w:rsidP="00A944C8">
      <w:pPr>
        <w:autoSpaceDE w:val="0"/>
        <w:autoSpaceDN w:val="0"/>
        <w:adjustRightInd w:val="0"/>
        <w:rPr>
          <w:rFonts w:asciiTheme="minorHAnsi" w:eastAsiaTheme="minorHAnsi" w:hAnsiTheme="minorHAnsi"/>
          <w:color w:val="auto"/>
          <w:sz w:val="20"/>
          <w:szCs w:val="20"/>
          <w:lang w:val="sr-Latn-BA" w:eastAsia="en-US"/>
        </w:rPr>
      </w:pPr>
    </w:p>
    <w:p w14:paraId="01479D85" w14:textId="77777777" w:rsidR="00DE45EF" w:rsidRPr="00DE45EF" w:rsidRDefault="00DE45EF" w:rsidP="00A944C8">
      <w:pPr>
        <w:autoSpaceDE w:val="0"/>
        <w:autoSpaceDN w:val="0"/>
        <w:adjustRightInd w:val="0"/>
        <w:rPr>
          <w:rFonts w:asciiTheme="minorHAnsi" w:eastAsiaTheme="minorHAnsi" w:hAnsiTheme="minorHAnsi"/>
          <w:color w:val="auto"/>
          <w:sz w:val="20"/>
          <w:szCs w:val="20"/>
          <w:lang w:val="sr-Latn-BA" w:eastAsia="en-US"/>
        </w:rPr>
      </w:pPr>
    </w:p>
    <w:p w14:paraId="435D8E6C" w14:textId="77777777" w:rsidR="00DE45EF" w:rsidRDefault="00DE45EF" w:rsidP="00A944C8">
      <w:pPr>
        <w:autoSpaceDE w:val="0"/>
        <w:autoSpaceDN w:val="0"/>
        <w:adjustRightInd w:val="0"/>
        <w:rPr>
          <w:rFonts w:asciiTheme="minorHAnsi" w:eastAsiaTheme="minorHAnsi" w:hAnsiTheme="minorHAnsi"/>
          <w:color w:val="auto"/>
          <w:sz w:val="20"/>
          <w:szCs w:val="20"/>
          <w:lang w:eastAsia="en-US"/>
        </w:rPr>
      </w:pPr>
    </w:p>
    <w:p w14:paraId="2D633040" w14:textId="78532FCE" w:rsidR="00CA6C43" w:rsidRDefault="00CA6C43" w:rsidP="00A944C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eastAsia="en-US"/>
        </w:rPr>
        <w:t xml:space="preserve">Potencijalna obaveza Fonda je jednaka stanju garancija na dan 31.12.2023. godine i iznosi </w:t>
      </w:r>
      <w:r w:rsidRPr="00C82041">
        <w:rPr>
          <w:rFonts w:asciiTheme="minorHAnsi" w:eastAsiaTheme="minorHAnsi" w:hAnsiTheme="minorHAnsi"/>
          <w:b/>
          <w:color w:val="auto"/>
          <w:sz w:val="20"/>
          <w:szCs w:val="20"/>
          <w:lang w:eastAsia="en-US"/>
        </w:rPr>
        <w:t>30.708.970,37 KM</w:t>
      </w:r>
      <w:r w:rsidR="00DE45EF">
        <w:rPr>
          <w:rFonts w:asciiTheme="minorHAnsi" w:eastAsiaTheme="minorHAnsi" w:hAnsiTheme="minorHAnsi"/>
          <w:b/>
          <w:color w:val="auto"/>
          <w:sz w:val="20"/>
          <w:szCs w:val="20"/>
          <w:lang w:eastAsia="en-US"/>
        </w:rPr>
        <w:t>.</w:t>
      </w:r>
      <w:r w:rsidRPr="00C82041">
        <w:rPr>
          <w:rFonts w:asciiTheme="minorHAnsi" w:eastAsiaTheme="minorHAnsi" w:hAnsiTheme="minorHAnsi"/>
          <w:b/>
          <w:color w:val="auto"/>
          <w:sz w:val="20"/>
          <w:szCs w:val="20"/>
          <w:lang w:eastAsia="en-US"/>
        </w:rPr>
        <w:t xml:space="preserve">  </w:t>
      </w:r>
      <w:r>
        <w:rPr>
          <w:rFonts w:asciiTheme="minorHAnsi" w:eastAsiaTheme="minorHAnsi" w:hAnsiTheme="minorHAnsi"/>
          <w:color w:val="auto"/>
          <w:sz w:val="20"/>
          <w:szCs w:val="20"/>
          <w:lang w:eastAsia="en-US"/>
        </w:rPr>
        <w:t xml:space="preserve">Najveća je izloženost Fonda prema finansijskim posrednicima po osnovu pojedinačnih garancija i ona iznosi 19.414.248,21 KM. Izloženost po osnovu garancija iz kreditnog portfolija iznosi 8.840.867,14 KM i odnosi se na izloženost prema MF, Prokredit i Unikredit banci koje su do kraja 2023. godine imale plasirane kredite u okviru ugovorenog kreditnog portfolija. Najmanja je izloženost Fonda po osnovu garancija na emitovane hartije od vrijednosti i ona iznosi 2.453.855,02 KM, a odnosi se na potencijalnu obavezu prema Centralnom registru hartija od vrijednosti a.d. Banja Luka, koji ima ulogu platnog agenta koji nastupa u ime i za račun vlasnika obveznica. </w:t>
      </w:r>
    </w:p>
    <w:p w14:paraId="513EC2D1" w14:textId="77777777" w:rsidR="00572EC5" w:rsidRPr="00572EC5" w:rsidRDefault="00572EC5" w:rsidP="00572EC5">
      <w:pPr>
        <w:autoSpaceDE w:val="0"/>
        <w:autoSpaceDN w:val="0"/>
        <w:adjustRightInd w:val="0"/>
        <w:rPr>
          <w:rFonts w:asciiTheme="minorHAnsi" w:eastAsiaTheme="minorHAnsi" w:hAnsiTheme="minorHAnsi"/>
          <w:color w:val="auto"/>
          <w:sz w:val="20"/>
          <w:szCs w:val="20"/>
          <w:lang w:val="sr-Cyrl-BA" w:eastAsia="en-US"/>
        </w:rPr>
      </w:pPr>
    </w:p>
    <w:p w14:paraId="6FC4B546" w14:textId="77777777" w:rsidR="00CF5C14" w:rsidRPr="00CA6C43" w:rsidRDefault="00E66BA7" w:rsidP="00572EC5">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eastAsia="en-US"/>
        </w:rPr>
        <w:t>Opšti zaključak je da je izloženost Fonda na dan 31.12.2023. godine prema svim finansijskim posrednicima sa kojima Fond ima potpisane ugovore o poslovno-tehničkoj saradnji značajno ispod ograničenja iz člana 14, stav 3 Zakona o Garantnom fondu Republike Srpske.</w:t>
      </w:r>
    </w:p>
    <w:p w14:paraId="686B271A" w14:textId="77777777" w:rsidR="00F30F98" w:rsidRDefault="00F30F98" w:rsidP="001538EF">
      <w:pPr>
        <w:rPr>
          <w:rFonts w:asciiTheme="minorHAnsi" w:hAnsiTheme="minorHAnsi"/>
          <w:sz w:val="20"/>
          <w:szCs w:val="20"/>
          <w:lang w:val="sr-Cyrl-BA"/>
        </w:rPr>
      </w:pPr>
    </w:p>
    <w:p w14:paraId="71C80734" w14:textId="77777777" w:rsidR="00A944C8" w:rsidRDefault="00A944C8" w:rsidP="001538EF">
      <w:pPr>
        <w:rPr>
          <w:rFonts w:asciiTheme="minorHAnsi" w:hAnsiTheme="minorHAnsi"/>
          <w:sz w:val="20"/>
          <w:szCs w:val="20"/>
          <w:lang w:val="sr-Cyrl-BA"/>
        </w:rPr>
      </w:pPr>
    </w:p>
    <w:p w14:paraId="21C95246" w14:textId="77777777" w:rsidR="00A944C8" w:rsidRDefault="00A944C8" w:rsidP="001538EF">
      <w:pPr>
        <w:rPr>
          <w:rFonts w:asciiTheme="minorHAnsi" w:hAnsiTheme="minorHAnsi"/>
          <w:sz w:val="20"/>
          <w:szCs w:val="20"/>
          <w:lang w:val="sr-Cyrl-BA"/>
        </w:rPr>
      </w:pPr>
    </w:p>
    <w:p w14:paraId="43660EFC" w14:textId="77777777" w:rsidR="00CA6C43" w:rsidRDefault="00CA6C43" w:rsidP="001538EF">
      <w:pPr>
        <w:rPr>
          <w:rFonts w:asciiTheme="minorHAnsi" w:hAnsiTheme="minorHAnsi"/>
          <w:sz w:val="20"/>
          <w:szCs w:val="20"/>
          <w:lang w:val="sr-Cyrl-BA"/>
        </w:rPr>
      </w:pPr>
    </w:p>
    <w:p w14:paraId="3D59C54B" w14:textId="77777777" w:rsidR="00CA6C43" w:rsidRDefault="00CA6C43" w:rsidP="001538EF">
      <w:pPr>
        <w:rPr>
          <w:rFonts w:asciiTheme="minorHAnsi" w:hAnsiTheme="minorHAnsi"/>
          <w:sz w:val="20"/>
          <w:szCs w:val="20"/>
          <w:lang w:val="sr-Cyrl-BA"/>
        </w:rPr>
      </w:pPr>
    </w:p>
    <w:p w14:paraId="37F2AFBB" w14:textId="77777777" w:rsidR="00CA6C43" w:rsidRDefault="00CA6C43" w:rsidP="001538EF">
      <w:pPr>
        <w:rPr>
          <w:rFonts w:asciiTheme="minorHAnsi" w:hAnsiTheme="minorHAnsi"/>
          <w:sz w:val="20"/>
          <w:szCs w:val="20"/>
          <w:lang w:val="sr-Cyrl-BA"/>
        </w:rPr>
      </w:pPr>
    </w:p>
    <w:p w14:paraId="744C5878" w14:textId="77777777" w:rsidR="00CA6C43" w:rsidRDefault="00CA6C43" w:rsidP="001538EF">
      <w:pPr>
        <w:rPr>
          <w:rFonts w:asciiTheme="minorHAnsi" w:hAnsiTheme="minorHAnsi"/>
          <w:sz w:val="20"/>
          <w:szCs w:val="20"/>
          <w:lang w:val="sr-Cyrl-BA"/>
        </w:rPr>
      </w:pPr>
    </w:p>
    <w:p w14:paraId="2FEAF4FF" w14:textId="77777777" w:rsidR="00CA6C43" w:rsidRDefault="00CA6C43" w:rsidP="001538EF">
      <w:pPr>
        <w:rPr>
          <w:rFonts w:asciiTheme="minorHAnsi" w:hAnsiTheme="minorHAnsi"/>
          <w:sz w:val="20"/>
          <w:szCs w:val="20"/>
          <w:lang w:val="sr-Cyrl-BA"/>
        </w:rPr>
      </w:pPr>
    </w:p>
    <w:p w14:paraId="63C5A8C9" w14:textId="77777777" w:rsidR="00CA6C43" w:rsidRDefault="00CA6C43" w:rsidP="001538EF">
      <w:pPr>
        <w:rPr>
          <w:rFonts w:asciiTheme="minorHAnsi" w:hAnsiTheme="minorHAnsi"/>
          <w:sz w:val="20"/>
          <w:szCs w:val="20"/>
          <w:lang w:val="sr-Cyrl-BA"/>
        </w:rPr>
      </w:pPr>
    </w:p>
    <w:p w14:paraId="30E9122B" w14:textId="77777777" w:rsidR="00572EC5" w:rsidRDefault="00572EC5" w:rsidP="001538EF">
      <w:pPr>
        <w:rPr>
          <w:rFonts w:asciiTheme="minorHAnsi" w:hAnsiTheme="minorHAnsi"/>
          <w:sz w:val="20"/>
          <w:szCs w:val="20"/>
          <w:lang w:val="sr-Cyrl-BA"/>
        </w:rPr>
      </w:pPr>
    </w:p>
    <w:p w14:paraId="786ACBB7" w14:textId="77777777" w:rsidR="00572EC5" w:rsidRDefault="00572EC5" w:rsidP="001538EF">
      <w:pPr>
        <w:rPr>
          <w:rFonts w:asciiTheme="minorHAnsi" w:hAnsiTheme="minorHAnsi"/>
          <w:sz w:val="20"/>
          <w:szCs w:val="20"/>
          <w:lang w:val="sr-Cyrl-BA"/>
        </w:rPr>
      </w:pPr>
    </w:p>
    <w:p w14:paraId="3416325A" w14:textId="77777777" w:rsidR="00572EC5" w:rsidRDefault="00572EC5" w:rsidP="001538EF">
      <w:pPr>
        <w:rPr>
          <w:rFonts w:asciiTheme="minorHAnsi" w:hAnsiTheme="minorHAnsi"/>
          <w:sz w:val="20"/>
          <w:szCs w:val="20"/>
          <w:lang w:val="sr-Cyrl-BA"/>
        </w:rPr>
      </w:pPr>
    </w:p>
    <w:p w14:paraId="52967EBC" w14:textId="77777777" w:rsidR="00572EC5" w:rsidRDefault="00572EC5" w:rsidP="001538EF">
      <w:pPr>
        <w:rPr>
          <w:rFonts w:asciiTheme="minorHAnsi" w:hAnsiTheme="minorHAnsi"/>
          <w:sz w:val="20"/>
          <w:szCs w:val="20"/>
          <w:lang w:val="sr-Cyrl-BA"/>
        </w:rPr>
      </w:pPr>
    </w:p>
    <w:p w14:paraId="7288DC8B" w14:textId="77777777" w:rsidR="00572EC5" w:rsidRDefault="00572EC5" w:rsidP="001538EF">
      <w:pPr>
        <w:rPr>
          <w:rFonts w:asciiTheme="minorHAnsi" w:hAnsiTheme="minorHAnsi"/>
          <w:sz w:val="20"/>
          <w:szCs w:val="20"/>
          <w:lang w:val="sr-Cyrl-BA"/>
        </w:rPr>
      </w:pPr>
    </w:p>
    <w:p w14:paraId="0781B011" w14:textId="77777777" w:rsidR="00572EC5" w:rsidRDefault="00572EC5" w:rsidP="001538EF">
      <w:pPr>
        <w:rPr>
          <w:rFonts w:asciiTheme="minorHAnsi" w:hAnsiTheme="minorHAnsi"/>
          <w:sz w:val="20"/>
          <w:szCs w:val="20"/>
          <w:lang w:val="sr-Cyrl-BA"/>
        </w:rPr>
      </w:pPr>
    </w:p>
    <w:p w14:paraId="154C417D" w14:textId="77777777" w:rsidR="00572EC5" w:rsidRDefault="00572EC5" w:rsidP="001538EF">
      <w:pPr>
        <w:rPr>
          <w:rFonts w:asciiTheme="minorHAnsi" w:hAnsiTheme="minorHAnsi"/>
          <w:sz w:val="20"/>
          <w:szCs w:val="20"/>
          <w:lang w:val="sr-Cyrl-BA"/>
        </w:rPr>
      </w:pPr>
    </w:p>
    <w:p w14:paraId="29790C90" w14:textId="77777777" w:rsidR="00572EC5" w:rsidRDefault="00572EC5" w:rsidP="001538EF">
      <w:pPr>
        <w:rPr>
          <w:rFonts w:asciiTheme="minorHAnsi" w:hAnsiTheme="minorHAnsi"/>
          <w:sz w:val="20"/>
          <w:szCs w:val="20"/>
          <w:lang w:val="sr-Cyrl-BA"/>
        </w:rPr>
      </w:pPr>
    </w:p>
    <w:p w14:paraId="23E3B3FA" w14:textId="77777777" w:rsidR="00572EC5" w:rsidRDefault="00572EC5" w:rsidP="001538EF">
      <w:pPr>
        <w:rPr>
          <w:rFonts w:asciiTheme="minorHAnsi" w:hAnsiTheme="minorHAnsi"/>
          <w:sz w:val="20"/>
          <w:szCs w:val="20"/>
          <w:lang w:val="sr-Cyrl-BA"/>
        </w:rPr>
      </w:pPr>
    </w:p>
    <w:p w14:paraId="717C321E" w14:textId="77777777" w:rsidR="00572EC5" w:rsidRDefault="00572EC5" w:rsidP="001538EF">
      <w:pPr>
        <w:rPr>
          <w:rFonts w:asciiTheme="minorHAnsi" w:hAnsiTheme="minorHAnsi"/>
          <w:sz w:val="20"/>
          <w:szCs w:val="20"/>
          <w:lang w:val="sr-Cyrl-BA"/>
        </w:rPr>
      </w:pPr>
    </w:p>
    <w:p w14:paraId="449BA0DC" w14:textId="77777777" w:rsidR="00572EC5" w:rsidRDefault="00572EC5" w:rsidP="001538EF">
      <w:pPr>
        <w:rPr>
          <w:rFonts w:asciiTheme="minorHAnsi" w:hAnsiTheme="minorHAnsi"/>
          <w:sz w:val="20"/>
          <w:szCs w:val="20"/>
          <w:lang w:val="sr-Cyrl-BA"/>
        </w:rPr>
      </w:pPr>
    </w:p>
    <w:p w14:paraId="2176EA6C" w14:textId="77777777" w:rsidR="00572EC5" w:rsidRDefault="00572EC5" w:rsidP="001538EF">
      <w:pPr>
        <w:rPr>
          <w:rFonts w:asciiTheme="minorHAnsi" w:hAnsiTheme="minorHAnsi"/>
          <w:sz w:val="20"/>
          <w:szCs w:val="20"/>
          <w:lang w:val="sr-Cyrl-BA"/>
        </w:rPr>
      </w:pPr>
    </w:p>
    <w:p w14:paraId="6A0BE42F" w14:textId="77777777" w:rsidR="00572EC5" w:rsidRDefault="00572EC5" w:rsidP="001538EF">
      <w:pPr>
        <w:rPr>
          <w:rFonts w:asciiTheme="minorHAnsi" w:hAnsiTheme="minorHAnsi"/>
          <w:sz w:val="20"/>
          <w:szCs w:val="20"/>
          <w:lang w:val="sr-Cyrl-BA"/>
        </w:rPr>
      </w:pPr>
    </w:p>
    <w:p w14:paraId="653DCCB1" w14:textId="77777777" w:rsidR="00572EC5" w:rsidRDefault="00572EC5" w:rsidP="001538EF">
      <w:pPr>
        <w:rPr>
          <w:rFonts w:asciiTheme="minorHAnsi" w:hAnsiTheme="minorHAnsi"/>
          <w:sz w:val="20"/>
          <w:szCs w:val="20"/>
          <w:lang w:val="sr-Cyrl-BA"/>
        </w:rPr>
      </w:pPr>
    </w:p>
    <w:p w14:paraId="0EE2988A" w14:textId="77777777" w:rsidR="00572EC5" w:rsidRDefault="00572EC5" w:rsidP="001538EF">
      <w:pPr>
        <w:rPr>
          <w:rFonts w:asciiTheme="minorHAnsi" w:hAnsiTheme="minorHAnsi"/>
          <w:sz w:val="20"/>
          <w:szCs w:val="20"/>
          <w:lang w:val="sr-Cyrl-BA"/>
        </w:rPr>
      </w:pPr>
    </w:p>
    <w:p w14:paraId="2602B1BD" w14:textId="77777777" w:rsidR="00572EC5" w:rsidRDefault="00572EC5" w:rsidP="001538EF">
      <w:pPr>
        <w:rPr>
          <w:rFonts w:asciiTheme="minorHAnsi" w:hAnsiTheme="minorHAnsi"/>
          <w:sz w:val="20"/>
          <w:szCs w:val="20"/>
          <w:lang w:val="sr-Cyrl-BA"/>
        </w:rPr>
      </w:pPr>
    </w:p>
    <w:p w14:paraId="50695DB3" w14:textId="77777777" w:rsidR="00572EC5" w:rsidRDefault="00572EC5" w:rsidP="001538EF">
      <w:pPr>
        <w:rPr>
          <w:rFonts w:asciiTheme="minorHAnsi" w:hAnsiTheme="minorHAnsi"/>
          <w:sz w:val="20"/>
          <w:szCs w:val="20"/>
          <w:lang w:val="sr-Cyrl-BA"/>
        </w:rPr>
      </w:pPr>
    </w:p>
    <w:p w14:paraId="753C8526" w14:textId="77777777" w:rsidR="00572EC5" w:rsidRDefault="00572EC5" w:rsidP="001538EF">
      <w:pPr>
        <w:rPr>
          <w:rFonts w:asciiTheme="minorHAnsi" w:hAnsiTheme="minorHAnsi"/>
          <w:sz w:val="20"/>
          <w:szCs w:val="20"/>
          <w:lang w:val="sr-Cyrl-BA"/>
        </w:rPr>
      </w:pPr>
    </w:p>
    <w:p w14:paraId="2DCCFCF0" w14:textId="77777777" w:rsidR="00572EC5" w:rsidRDefault="00572EC5" w:rsidP="001538EF">
      <w:pPr>
        <w:rPr>
          <w:rFonts w:asciiTheme="minorHAnsi" w:hAnsiTheme="minorHAnsi"/>
          <w:sz w:val="20"/>
          <w:szCs w:val="20"/>
          <w:lang w:val="sr-Cyrl-BA"/>
        </w:rPr>
      </w:pPr>
    </w:p>
    <w:p w14:paraId="2C106006" w14:textId="77777777" w:rsidR="00572EC5" w:rsidRDefault="00572EC5" w:rsidP="001538EF">
      <w:pPr>
        <w:rPr>
          <w:rFonts w:asciiTheme="minorHAnsi" w:hAnsiTheme="minorHAnsi"/>
          <w:sz w:val="20"/>
          <w:szCs w:val="20"/>
          <w:lang w:val="sr-Cyrl-BA"/>
        </w:rPr>
      </w:pPr>
    </w:p>
    <w:p w14:paraId="0B40A20C" w14:textId="77777777" w:rsidR="00572EC5" w:rsidRDefault="00572EC5" w:rsidP="001538EF">
      <w:pPr>
        <w:rPr>
          <w:rFonts w:asciiTheme="minorHAnsi" w:hAnsiTheme="minorHAnsi"/>
          <w:sz w:val="20"/>
          <w:szCs w:val="20"/>
          <w:lang w:val="sr-Cyrl-BA"/>
        </w:rPr>
      </w:pPr>
    </w:p>
    <w:p w14:paraId="49954DFF" w14:textId="77777777" w:rsidR="00572EC5" w:rsidRDefault="00572EC5" w:rsidP="001538EF">
      <w:pPr>
        <w:rPr>
          <w:rFonts w:asciiTheme="minorHAnsi" w:hAnsiTheme="minorHAnsi"/>
          <w:sz w:val="20"/>
          <w:szCs w:val="20"/>
          <w:lang w:val="sr-Cyrl-BA"/>
        </w:rPr>
      </w:pPr>
    </w:p>
    <w:p w14:paraId="7FDE0CD8" w14:textId="77777777" w:rsidR="00572EC5" w:rsidRDefault="00572EC5" w:rsidP="001538EF">
      <w:pPr>
        <w:rPr>
          <w:rFonts w:asciiTheme="minorHAnsi" w:hAnsiTheme="minorHAnsi"/>
          <w:sz w:val="20"/>
          <w:szCs w:val="20"/>
          <w:lang w:val="sr-Cyrl-BA"/>
        </w:rPr>
      </w:pPr>
    </w:p>
    <w:p w14:paraId="049FB92D" w14:textId="77777777" w:rsidR="00572EC5" w:rsidRDefault="00572EC5" w:rsidP="001538EF">
      <w:pPr>
        <w:rPr>
          <w:rFonts w:asciiTheme="minorHAnsi" w:hAnsiTheme="minorHAnsi"/>
          <w:sz w:val="20"/>
          <w:szCs w:val="20"/>
          <w:lang w:val="sr-Cyrl-BA"/>
        </w:rPr>
      </w:pPr>
    </w:p>
    <w:p w14:paraId="7E8FACD0" w14:textId="77777777" w:rsidR="00572EC5" w:rsidRDefault="00572EC5" w:rsidP="001538EF">
      <w:pPr>
        <w:rPr>
          <w:rFonts w:asciiTheme="minorHAnsi" w:hAnsiTheme="minorHAnsi"/>
          <w:sz w:val="20"/>
          <w:szCs w:val="20"/>
          <w:lang w:val="sr-Cyrl-BA"/>
        </w:rPr>
      </w:pPr>
    </w:p>
    <w:p w14:paraId="68E5B3FA" w14:textId="77777777" w:rsidR="00572EC5" w:rsidRDefault="00572EC5" w:rsidP="001538EF">
      <w:pPr>
        <w:rPr>
          <w:rFonts w:asciiTheme="minorHAnsi" w:hAnsiTheme="minorHAnsi"/>
          <w:sz w:val="20"/>
          <w:szCs w:val="20"/>
          <w:lang w:val="sr-Cyrl-BA"/>
        </w:rPr>
      </w:pPr>
    </w:p>
    <w:p w14:paraId="4F3666F2" w14:textId="77777777" w:rsidR="00572EC5" w:rsidRDefault="00572EC5" w:rsidP="001538EF">
      <w:pPr>
        <w:rPr>
          <w:rFonts w:asciiTheme="minorHAnsi" w:hAnsiTheme="minorHAnsi"/>
          <w:sz w:val="20"/>
          <w:szCs w:val="20"/>
          <w:lang w:val="sr-Cyrl-BA"/>
        </w:rPr>
      </w:pPr>
    </w:p>
    <w:p w14:paraId="751825AE" w14:textId="77777777" w:rsidR="00572EC5" w:rsidRDefault="00572EC5" w:rsidP="001538EF">
      <w:pPr>
        <w:rPr>
          <w:rFonts w:asciiTheme="minorHAnsi" w:hAnsiTheme="minorHAnsi"/>
          <w:sz w:val="20"/>
          <w:szCs w:val="20"/>
          <w:lang w:val="sr-Cyrl-BA"/>
        </w:rPr>
      </w:pPr>
    </w:p>
    <w:p w14:paraId="3A6A8743" w14:textId="77777777" w:rsidR="00572EC5" w:rsidRDefault="00572EC5" w:rsidP="001538EF">
      <w:pPr>
        <w:rPr>
          <w:rFonts w:asciiTheme="minorHAnsi" w:hAnsiTheme="minorHAnsi"/>
          <w:sz w:val="20"/>
          <w:szCs w:val="20"/>
          <w:lang w:val="sr-Cyrl-BA"/>
        </w:rPr>
      </w:pPr>
    </w:p>
    <w:p w14:paraId="23D3E358" w14:textId="77777777" w:rsidR="00572EC5" w:rsidRDefault="00572EC5" w:rsidP="001538EF">
      <w:pPr>
        <w:rPr>
          <w:rFonts w:asciiTheme="minorHAnsi" w:hAnsiTheme="minorHAnsi"/>
          <w:sz w:val="20"/>
          <w:szCs w:val="20"/>
          <w:lang w:val="sr-Cyrl-BA"/>
        </w:rPr>
      </w:pPr>
    </w:p>
    <w:p w14:paraId="12C55DD2" w14:textId="77777777" w:rsidR="00572EC5" w:rsidRDefault="00572EC5" w:rsidP="001538EF">
      <w:pPr>
        <w:rPr>
          <w:rFonts w:asciiTheme="minorHAnsi" w:hAnsiTheme="minorHAnsi"/>
          <w:sz w:val="20"/>
          <w:szCs w:val="20"/>
          <w:lang w:val="sr-Cyrl-BA"/>
        </w:rPr>
      </w:pPr>
    </w:p>
    <w:p w14:paraId="38ACF344" w14:textId="77777777" w:rsidR="005D2C1F" w:rsidRDefault="005D2C1F" w:rsidP="001538EF">
      <w:pPr>
        <w:rPr>
          <w:rFonts w:asciiTheme="minorHAnsi" w:hAnsiTheme="minorHAnsi"/>
          <w:sz w:val="20"/>
          <w:szCs w:val="20"/>
          <w:lang w:val="sr-Cyrl-BA"/>
        </w:rPr>
      </w:pPr>
    </w:p>
    <w:p w14:paraId="5DFD5776" w14:textId="77777777" w:rsidR="005D2C1F" w:rsidRDefault="005D2C1F" w:rsidP="001538EF">
      <w:pPr>
        <w:rPr>
          <w:rFonts w:asciiTheme="minorHAnsi" w:hAnsiTheme="minorHAnsi"/>
          <w:sz w:val="20"/>
          <w:szCs w:val="20"/>
          <w:lang w:val="sr-Cyrl-BA"/>
        </w:rPr>
      </w:pPr>
    </w:p>
    <w:p w14:paraId="5B1128F3" w14:textId="77777777" w:rsidR="00572EC5" w:rsidRDefault="00572EC5" w:rsidP="001538EF">
      <w:pPr>
        <w:rPr>
          <w:rFonts w:asciiTheme="minorHAnsi" w:hAnsiTheme="minorHAnsi"/>
          <w:sz w:val="20"/>
          <w:szCs w:val="20"/>
          <w:lang w:val="sr-Cyrl-BA"/>
        </w:rPr>
      </w:pPr>
    </w:p>
    <w:p w14:paraId="3C5CDF60" w14:textId="77777777" w:rsidR="00CA6C43" w:rsidRDefault="00CA6C43" w:rsidP="001538EF">
      <w:pPr>
        <w:rPr>
          <w:rFonts w:asciiTheme="minorHAnsi" w:hAnsiTheme="minorHAnsi"/>
          <w:sz w:val="20"/>
          <w:szCs w:val="20"/>
          <w:lang w:val="sr-Cyrl-BA"/>
        </w:rPr>
      </w:pPr>
    </w:p>
    <w:p w14:paraId="51F22B55" w14:textId="77777777" w:rsidR="00A944C8" w:rsidRPr="005767EF" w:rsidRDefault="00A944C8" w:rsidP="001538EF">
      <w:pPr>
        <w:rPr>
          <w:rFonts w:asciiTheme="minorHAnsi" w:hAnsiTheme="minorHAnsi"/>
          <w:sz w:val="20"/>
          <w:szCs w:val="20"/>
          <w:lang w:val="sr-Cyrl-BA"/>
        </w:rPr>
      </w:pPr>
    </w:p>
    <w:p w14:paraId="6DDC80D4" w14:textId="77777777" w:rsidR="00DE45EF" w:rsidRDefault="00DE45EF" w:rsidP="00E84021">
      <w:pPr>
        <w:pStyle w:val="Heading2"/>
        <w:numPr>
          <w:ilvl w:val="0"/>
          <w:numId w:val="0"/>
        </w:numPr>
        <w:ind w:left="576" w:hanging="576"/>
        <w:rPr>
          <w:rFonts w:asciiTheme="minorHAnsi" w:hAnsiTheme="minorHAnsi"/>
          <w:caps/>
          <w:szCs w:val="20"/>
          <w:lang w:val="sr-Latn-BA"/>
        </w:rPr>
      </w:pPr>
      <w:bookmarkStart w:id="10" w:name="_Toc135292173"/>
    </w:p>
    <w:p w14:paraId="52754454" w14:textId="2A5DDC63" w:rsidR="001538EF" w:rsidRPr="00301192" w:rsidRDefault="00E84021" w:rsidP="00E84021">
      <w:pPr>
        <w:pStyle w:val="Heading2"/>
        <w:numPr>
          <w:ilvl w:val="0"/>
          <w:numId w:val="0"/>
        </w:numPr>
        <w:ind w:left="576" w:hanging="576"/>
        <w:rPr>
          <w:rFonts w:asciiTheme="minorHAnsi" w:hAnsiTheme="minorHAnsi"/>
          <w:caps/>
          <w:szCs w:val="20"/>
          <w:lang w:val="sr-Latn-RS" w:eastAsia="en-US"/>
        </w:rPr>
      </w:pPr>
      <w:r w:rsidRPr="00301192">
        <w:rPr>
          <w:rFonts w:asciiTheme="minorHAnsi" w:hAnsiTheme="minorHAnsi"/>
          <w:caps/>
          <w:szCs w:val="20"/>
        </w:rPr>
        <w:t>2.5 . analiza izdanih garancija iz GARANTNOG programa COVID-19 na dan 31.12.2023. godine</w:t>
      </w:r>
      <w:bookmarkEnd w:id="10"/>
    </w:p>
    <w:p w14:paraId="77CB2C4B" w14:textId="77777777" w:rsidR="001538EF" w:rsidRPr="001C27A1" w:rsidRDefault="001538EF" w:rsidP="003E7F9E">
      <w:pPr>
        <w:rPr>
          <w:rFonts w:asciiTheme="minorHAnsi" w:hAnsiTheme="minorHAnsi"/>
          <w:sz w:val="20"/>
          <w:szCs w:val="20"/>
          <w:lang w:val="sr-Cyrl-BA"/>
        </w:rPr>
      </w:pPr>
    </w:p>
    <w:p w14:paraId="486F3B06" w14:textId="05A57133" w:rsidR="00545FA4" w:rsidRPr="003C7FD1" w:rsidRDefault="00545FA4" w:rsidP="003E7F9E">
      <w:pPr>
        <w:autoSpaceDE w:val="0"/>
        <w:autoSpaceDN w:val="0"/>
        <w:adjustRightInd w:val="0"/>
        <w:rPr>
          <w:rFonts w:asciiTheme="minorHAnsi" w:hAnsiTheme="minorHAnsi"/>
          <w:noProof/>
          <w:color w:val="auto"/>
          <w:sz w:val="20"/>
          <w:szCs w:val="20"/>
        </w:rPr>
      </w:pPr>
      <w:r w:rsidRPr="001C27A1">
        <w:rPr>
          <w:rFonts w:asciiTheme="minorHAnsi" w:hAnsiTheme="minorHAnsi"/>
          <w:noProof/>
          <w:color w:val="auto"/>
          <w:sz w:val="20"/>
          <w:szCs w:val="20"/>
        </w:rPr>
        <w:t>Uredbom sa zakonskom snagom o dopunama Zakona o Garantnom fondu Republike Srpske od 8. maja 2020. godine (</w:t>
      </w:r>
      <w:r w:rsidR="003C7FD1">
        <w:rPr>
          <w:rFonts w:asciiTheme="minorHAnsi" w:hAnsiTheme="minorHAnsi"/>
          <w:noProof/>
          <w:color w:val="auto"/>
          <w:sz w:val="20"/>
          <w:szCs w:val="20"/>
        </w:rPr>
        <w:t xml:space="preserve"> </w:t>
      </w:r>
      <w:r w:rsidRPr="001C27A1">
        <w:rPr>
          <w:rFonts w:asciiTheme="minorHAnsi" w:eastAsiaTheme="minorHAnsi" w:hAnsiTheme="minorHAnsi"/>
          <w:sz w:val="20"/>
          <w:szCs w:val="20"/>
          <w:lang w:eastAsia="en-US"/>
        </w:rPr>
        <w:t>Službeni glasnik Republike Srpske broj 44/20) i</w:t>
      </w:r>
      <w:r w:rsidR="003C7FD1">
        <w:rPr>
          <w:rFonts w:asciiTheme="minorHAnsi" w:eastAsiaTheme="minorHAnsi" w:hAnsiTheme="minorHAnsi"/>
          <w:sz w:val="20"/>
          <w:szCs w:val="20"/>
          <w:lang w:eastAsia="en-US"/>
        </w:rPr>
        <w:t xml:space="preserve"> </w:t>
      </w:r>
      <w:r w:rsidRPr="001C27A1">
        <w:rPr>
          <w:rFonts w:asciiTheme="minorHAnsi" w:hAnsiTheme="minorHAnsi"/>
          <w:noProof/>
          <w:color w:val="auto"/>
          <w:sz w:val="20"/>
          <w:szCs w:val="20"/>
        </w:rPr>
        <w:t>Odlukom Narodne skupštine Republike Srpske o utvrđivanju Uredbe sa zakonskom snagom o dopunama Zakona</w:t>
      </w:r>
      <w:r w:rsidR="003C7FD1">
        <w:rPr>
          <w:rFonts w:asciiTheme="minorHAnsi" w:hAnsiTheme="minorHAnsi"/>
          <w:noProof/>
          <w:color w:val="auto"/>
          <w:sz w:val="20"/>
          <w:szCs w:val="20"/>
        </w:rPr>
        <w:t xml:space="preserve"> </w:t>
      </w:r>
      <w:r w:rsidRPr="001C27A1">
        <w:rPr>
          <w:rFonts w:asciiTheme="minorHAnsi" w:hAnsiTheme="minorHAnsi"/>
          <w:noProof/>
          <w:color w:val="auto"/>
          <w:sz w:val="20"/>
          <w:szCs w:val="20"/>
        </w:rPr>
        <w:t>o Garantnom fondu Republike Srpske</w:t>
      </w:r>
      <w:r w:rsidR="003C7FD1">
        <w:rPr>
          <w:rFonts w:asciiTheme="minorHAnsi" w:hAnsiTheme="minorHAnsi"/>
          <w:noProof/>
          <w:color w:val="auto"/>
          <w:sz w:val="20"/>
          <w:szCs w:val="20"/>
        </w:rPr>
        <w:t xml:space="preserve">                    </w:t>
      </w:r>
      <w:r w:rsidRPr="001C27A1">
        <w:rPr>
          <w:rFonts w:asciiTheme="minorHAnsi" w:hAnsiTheme="minorHAnsi"/>
          <w:noProof/>
          <w:color w:val="auto"/>
          <w:sz w:val="20"/>
          <w:szCs w:val="20"/>
        </w:rPr>
        <w:t xml:space="preserve">( „Službeni glasnik Republike Srpske“ 53/20), definisana je uloga Garantnog fonda Republike Srpske u provođenju garantnog programa koji organizuje Republika Srpska u opštem ekonomskom interesu, radi olakšanja pristupa finansijskim sredstvima i ublažavanja posljedica nastupanja posebnih okolnosti na privredu Republike Srpske, uključujući vanredno stanje ili vanrednu situaciju, na način da Fond može obavljati stručne i administrativno-tehničke poslove i upravljati garantnim programima koje organizuje Republika Srpska. </w:t>
      </w:r>
    </w:p>
    <w:p w14:paraId="6E381FBB" w14:textId="77777777" w:rsidR="001C27A1" w:rsidRPr="001C27A1" w:rsidRDefault="001C27A1" w:rsidP="00545FA4">
      <w:pPr>
        <w:autoSpaceDE w:val="0"/>
        <w:autoSpaceDN w:val="0"/>
        <w:adjustRightInd w:val="0"/>
        <w:rPr>
          <w:rFonts w:asciiTheme="minorHAnsi" w:hAnsiTheme="minorHAnsi"/>
          <w:sz w:val="20"/>
          <w:szCs w:val="20"/>
          <w:lang w:val="sr-Cyrl-BA"/>
        </w:rPr>
      </w:pPr>
    </w:p>
    <w:p w14:paraId="7A263EDE" w14:textId="234C185C" w:rsidR="00545FA4" w:rsidRDefault="00545FA4" w:rsidP="00545FA4">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sz w:val="20"/>
          <w:szCs w:val="20"/>
          <w:lang w:eastAsia="en-US"/>
        </w:rPr>
        <w:t xml:space="preserve">Odlukom Vlade Republike Srpske od 02.07.2020. godine (Službeni glasnik Republike Srpske broj 64/20) organizovan je Garantni program podrške privredi za ublažavanje posljedica pandemije bolesti COVID-19  </w:t>
      </w:r>
      <w:r w:rsidRPr="001C27A1">
        <w:rPr>
          <w:rFonts w:asciiTheme="minorHAnsi" w:eastAsiaTheme="minorHAnsi" w:hAnsiTheme="minorHAnsi"/>
          <w:color w:val="auto"/>
          <w:sz w:val="20"/>
          <w:szCs w:val="20"/>
          <w:lang w:eastAsia="en-US"/>
        </w:rPr>
        <w:t xml:space="preserve"> kao jedna od mjera podrške privredi radi ublažavanja ekonomskih posljedica i sprečavanja veće ekonomske štete uzrokovane bolešću COVID-19 izazvane virusom SARS-CoV-2</w:t>
      </w:r>
      <w:r w:rsidR="00C527B6">
        <w:rPr>
          <w:rFonts w:asciiTheme="minorHAnsi" w:eastAsiaTheme="minorHAnsi" w:hAnsiTheme="minorHAnsi"/>
          <w:color w:val="auto"/>
          <w:sz w:val="20"/>
          <w:szCs w:val="20"/>
          <w:lang w:eastAsia="en-US"/>
        </w:rPr>
        <w:t>.</w:t>
      </w:r>
      <w:r w:rsidRPr="001C27A1">
        <w:rPr>
          <w:rFonts w:asciiTheme="minorHAnsi" w:eastAsiaTheme="minorHAnsi" w:hAnsiTheme="minorHAnsi"/>
          <w:sz w:val="20"/>
          <w:szCs w:val="20"/>
          <w:lang w:eastAsia="en-US"/>
        </w:rPr>
        <w:t xml:space="preserve"> </w:t>
      </w:r>
    </w:p>
    <w:p w14:paraId="2846C742" w14:textId="77777777" w:rsidR="001C27A1" w:rsidRPr="001C27A1" w:rsidRDefault="001C27A1" w:rsidP="00545FA4">
      <w:pPr>
        <w:autoSpaceDE w:val="0"/>
        <w:autoSpaceDN w:val="0"/>
        <w:adjustRightInd w:val="0"/>
        <w:rPr>
          <w:rFonts w:asciiTheme="minorHAnsi" w:eastAsiaTheme="minorHAnsi" w:hAnsiTheme="minorHAnsi"/>
          <w:sz w:val="20"/>
          <w:szCs w:val="20"/>
          <w:lang w:val="sr-Cyrl-BA" w:eastAsia="en-US"/>
        </w:rPr>
      </w:pPr>
    </w:p>
    <w:p w14:paraId="3E56E526" w14:textId="706B0D72" w:rsidR="00545FA4" w:rsidRDefault="00545FA4" w:rsidP="00545FA4">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color w:val="auto"/>
          <w:sz w:val="20"/>
          <w:szCs w:val="20"/>
          <w:lang w:eastAsia="en-US"/>
        </w:rPr>
        <w:t xml:space="preserve"> Cilj Garantnog programa COVID-19 je olakšavanje pristupa finansijskim sredstvima za privredne subjekte – preduzetnike, mikro, mala i srednja preduzeća putem izdavanja garancija za obezbjeđenje potraživanja po kreditu odobrenom od finansijske organizacije, tj. obezbjeđenjsm djelimične zaštite od kreditnog rizika tih preduzeća, povećanog ekonomskim posljedicama nastalim usljed bolesti COVID 19 izazvane virusom SARS-CoV-2. </w:t>
      </w:r>
      <w:r w:rsidRPr="001C27A1">
        <w:rPr>
          <w:rFonts w:asciiTheme="minorHAnsi" w:eastAsiaTheme="minorHAnsi" w:hAnsiTheme="minorHAnsi"/>
          <w:sz w:val="20"/>
          <w:szCs w:val="20"/>
          <w:lang w:eastAsia="en-US"/>
        </w:rPr>
        <w:t xml:space="preserve"> Garantnim programom  </w:t>
      </w:r>
      <w:r w:rsidRPr="001C27A1">
        <w:rPr>
          <w:rFonts w:asciiTheme="minorHAnsi" w:eastAsiaTheme="minorHAnsi" w:hAnsiTheme="minorHAnsi"/>
          <w:color w:val="auto"/>
          <w:sz w:val="20"/>
          <w:szCs w:val="20"/>
          <w:lang w:eastAsia="en-US"/>
        </w:rPr>
        <w:t>COVID 19</w:t>
      </w:r>
      <w:r w:rsidRPr="001C27A1">
        <w:rPr>
          <w:rFonts w:asciiTheme="minorHAnsi" w:eastAsiaTheme="minorHAnsi" w:hAnsiTheme="minorHAnsi"/>
          <w:sz w:val="20"/>
          <w:szCs w:val="20"/>
          <w:lang w:eastAsia="en-US"/>
        </w:rPr>
        <w:t>,</w:t>
      </w:r>
      <w:r w:rsidR="00C527B6">
        <w:rPr>
          <w:rFonts w:asciiTheme="minorHAnsi" w:eastAsiaTheme="minorHAnsi" w:hAnsiTheme="minorHAnsi"/>
          <w:sz w:val="20"/>
          <w:szCs w:val="20"/>
          <w:lang w:eastAsia="en-US"/>
        </w:rPr>
        <w:t xml:space="preserve"> </w:t>
      </w:r>
      <w:r w:rsidRPr="001C27A1">
        <w:rPr>
          <w:rFonts w:asciiTheme="minorHAnsi" w:eastAsiaTheme="minorHAnsi" w:hAnsiTheme="minorHAnsi"/>
          <w:sz w:val="20"/>
          <w:szCs w:val="20"/>
          <w:lang w:eastAsia="en-US"/>
        </w:rPr>
        <w:t xml:space="preserve">u ime i za račun Republike Srpske, upravlja Garantni fond Republike Srpske. </w:t>
      </w:r>
    </w:p>
    <w:p w14:paraId="26A1C929" w14:textId="77777777" w:rsidR="001C27A1" w:rsidRPr="001C27A1" w:rsidRDefault="001C27A1" w:rsidP="00545FA4">
      <w:pPr>
        <w:autoSpaceDE w:val="0"/>
        <w:autoSpaceDN w:val="0"/>
        <w:adjustRightInd w:val="0"/>
        <w:rPr>
          <w:rFonts w:asciiTheme="minorHAnsi" w:eastAsiaTheme="minorHAnsi" w:hAnsiTheme="minorHAnsi"/>
          <w:color w:val="auto"/>
          <w:sz w:val="20"/>
          <w:szCs w:val="20"/>
          <w:lang w:val="sr-Latn-RS" w:eastAsia="en-US"/>
        </w:rPr>
      </w:pPr>
    </w:p>
    <w:p w14:paraId="27AEE205" w14:textId="77777777" w:rsidR="00545FA4" w:rsidRPr="001C27A1" w:rsidRDefault="00545FA4" w:rsidP="00545FA4">
      <w:pPr>
        <w:autoSpaceDE w:val="0"/>
        <w:autoSpaceDN w:val="0"/>
        <w:adjustRightInd w:val="0"/>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eastAsia="en-US"/>
        </w:rPr>
        <w:t>Fond je dužan da, u skladu sa pravilima poslovanja Garantnog programa COVID 19, sačinjava izvještaje o broju kredita uključenih u portfolio prema granskoj pripadnosti i veličini privrednog subjekta, o stanju neotplaćene glavnice kredita, očekivanim kreditnim gubicima i drugim pitanjima od značaja za projekciju budžetskih rashoda. Fond takođe sačinjava knjigovodstvene isprave, vodi poslovne knjige i sačinjava finansijske i druge izvještaja o sprovođenju Garantnog programa. Obaveza Fonda o praćenju i izvještavanju o realizaciji Garantnog programa COVID-19 podrške privredi za ublažavanje posljedica pandemije bolesti COVID-19 važi do isteka svih garancija izdanih u okviru Programa.</w:t>
      </w:r>
    </w:p>
    <w:p w14:paraId="7B218F29" w14:textId="77777777" w:rsidR="00545FA4" w:rsidRPr="001C27A1" w:rsidRDefault="00545FA4" w:rsidP="00545FA4">
      <w:pPr>
        <w:spacing w:line="276" w:lineRule="auto"/>
        <w:rPr>
          <w:rFonts w:asciiTheme="minorHAnsi" w:eastAsiaTheme="minorHAnsi" w:hAnsiTheme="minorHAnsi"/>
          <w:b/>
          <w:color w:val="auto"/>
          <w:sz w:val="20"/>
          <w:szCs w:val="20"/>
          <w:lang w:val="sr-Cyrl-RS" w:eastAsia="en-US"/>
        </w:rPr>
      </w:pPr>
    </w:p>
    <w:p w14:paraId="517E24AF" w14:textId="77777777" w:rsidR="00545FA4" w:rsidRDefault="00545FA4" w:rsidP="00545FA4">
      <w:pPr>
        <w:spacing w:line="276" w:lineRule="auto"/>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eastAsia="en-US"/>
        </w:rPr>
        <w:t>Pregled realizovanih kredita iz Garantnog programa COVID-19 u 2023. godini po finansijskim posrednicima</w:t>
      </w:r>
    </w:p>
    <w:p w14:paraId="6F523319" w14:textId="77777777" w:rsidR="002B5C72" w:rsidRPr="001C27A1" w:rsidRDefault="002B5C72" w:rsidP="00545FA4">
      <w:pPr>
        <w:spacing w:line="276" w:lineRule="auto"/>
        <w:jc w:val="center"/>
        <w:rPr>
          <w:rFonts w:asciiTheme="minorHAnsi" w:eastAsiaTheme="minorHAnsi" w:hAnsiTheme="minorHAnsi"/>
          <w:b/>
          <w:color w:val="auto"/>
          <w:sz w:val="20"/>
          <w:szCs w:val="20"/>
          <w:lang w:val="sr-Cyrl-RS" w:eastAsia="en-US"/>
        </w:rPr>
      </w:pPr>
    </w:p>
    <w:p w14:paraId="3F7F4B01" w14:textId="77777777" w:rsidR="00545FA4" w:rsidRPr="001C27A1" w:rsidRDefault="00545FA4" w:rsidP="00545FA4">
      <w:pPr>
        <w:spacing w:line="276" w:lineRule="auto"/>
        <w:rPr>
          <w:rFonts w:asciiTheme="minorHAnsi" w:eastAsiaTheme="minorHAnsi" w:hAnsiTheme="minorHAnsi"/>
          <w:b/>
          <w:color w:val="auto"/>
          <w:sz w:val="20"/>
          <w:szCs w:val="20"/>
          <w:lang w:val="sr-Cyrl-RS" w:eastAsia="en-US"/>
        </w:rPr>
      </w:pP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t xml:space="preserve">               </w:t>
      </w:r>
      <w:r w:rsidR="001C27A1">
        <w:rPr>
          <w:rFonts w:asciiTheme="minorHAnsi" w:eastAsiaTheme="minorHAnsi" w:hAnsiTheme="minorHAnsi"/>
          <w:b/>
          <w:color w:val="auto"/>
          <w:sz w:val="20"/>
          <w:szCs w:val="20"/>
          <w:lang w:eastAsia="en-US"/>
        </w:rPr>
        <w:t>Tabela 17</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992"/>
        <w:gridCol w:w="1418"/>
        <w:gridCol w:w="1559"/>
        <w:gridCol w:w="1843"/>
      </w:tblGrid>
      <w:tr w:rsidR="00545FA4" w:rsidRPr="001C27A1" w14:paraId="533104EB" w14:textId="77777777" w:rsidTr="001C27A1">
        <w:trPr>
          <w:trHeight w:val="552"/>
        </w:trPr>
        <w:tc>
          <w:tcPr>
            <w:tcW w:w="2992" w:type="dxa"/>
            <w:shd w:val="clear" w:color="auto" w:fill="8DB3E2" w:themeFill="text2" w:themeFillTint="66"/>
            <w:vAlign w:val="center"/>
            <w:hideMark/>
          </w:tcPr>
          <w:p w14:paraId="116D4832"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Finansijski posrednik</w:t>
            </w:r>
          </w:p>
        </w:tc>
        <w:tc>
          <w:tcPr>
            <w:tcW w:w="992" w:type="dxa"/>
            <w:shd w:val="clear" w:color="auto" w:fill="8DB3E2" w:themeFill="text2" w:themeFillTint="66"/>
            <w:vAlign w:val="center"/>
            <w:hideMark/>
          </w:tcPr>
          <w:p w14:paraId="2877700C" w14:textId="21DF53BD"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 xml:space="preserve">Broj </w:t>
            </w:r>
            <w:r w:rsidR="00467FEE">
              <w:rPr>
                <w:rFonts w:asciiTheme="minorHAnsi" w:hAnsiTheme="minorHAnsi"/>
                <w:b/>
                <w:sz w:val="20"/>
                <w:szCs w:val="20"/>
              </w:rPr>
              <w:t>kredita</w:t>
            </w:r>
          </w:p>
        </w:tc>
        <w:tc>
          <w:tcPr>
            <w:tcW w:w="1418" w:type="dxa"/>
            <w:shd w:val="clear" w:color="auto" w:fill="8DB3E2" w:themeFill="text2" w:themeFillTint="66"/>
            <w:vAlign w:val="center"/>
            <w:hideMark/>
          </w:tcPr>
          <w:p w14:paraId="09123396"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Iznos kredita</w:t>
            </w:r>
          </w:p>
        </w:tc>
        <w:tc>
          <w:tcPr>
            <w:tcW w:w="1559" w:type="dxa"/>
            <w:shd w:val="clear" w:color="auto" w:fill="8DB3E2" w:themeFill="text2" w:themeFillTint="66"/>
            <w:vAlign w:val="center"/>
            <w:hideMark/>
          </w:tcPr>
          <w:p w14:paraId="1A51AFF3"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Iznos garancije</w:t>
            </w:r>
          </w:p>
        </w:tc>
        <w:tc>
          <w:tcPr>
            <w:tcW w:w="1843" w:type="dxa"/>
            <w:shd w:val="clear" w:color="auto" w:fill="8DB3E2" w:themeFill="text2" w:themeFillTint="66"/>
            <w:vAlign w:val="center"/>
            <w:hideMark/>
          </w:tcPr>
          <w:p w14:paraId="4AD7C86E" w14:textId="77777777" w:rsidR="00545FA4" w:rsidRPr="001C27A1" w:rsidRDefault="00545FA4" w:rsidP="00545FA4">
            <w:pPr>
              <w:jc w:val="center"/>
              <w:rPr>
                <w:rFonts w:asciiTheme="minorHAnsi" w:hAnsiTheme="minorHAnsi"/>
                <w:b/>
                <w:sz w:val="20"/>
                <w:szCs w:val="20"/>
              </w:rPr>
            </w:pPr>
            <w:r w:rsidRPr="001C27A1">
              <w:rPr>
                <w:rFonts w:asciiTheme="minorHAnsi" w:hAnsiTheme="minorHAnsi"/>
                <w:b/>
                <w:sz w:val="20"/>
                <w:szCs w:val="20"/>
              </w:rPr>
              <w:t>Učešće u plasiranim kreditima</w:t>
            </w:r>
          </w:p>
        </w:tc>
      </w:tr>
      <w:tr w:rsidR="00545FA4" w:rsidRPr="001C27A1" w14:paraId="7E06AFEF" w14:textId="77777777" w:rsidTr="001C27A1">
        <w:trPr>
          <w:trHeight w:val="222"/>
        </w:trPr>
        <w:tc>
          <w:tcPr>
            <w:tcW w:w="2992" w:type="dxa"/>
            <w:shd w:val="clear" w:color="auto" w:fill="FFFFFF" w:themeFill="background1"/>
            <w:vAlign w:val="center"/>
            <w:hideMark/>
          </w:tcPr>
          <w:p w14:paraId="1A9686DC" w14:textId="77777777" w:rsidR="00545FA4" w:rsidRPr="001C27A1" w:rsidRDefault="00545FA4" w:rsidP="00545FA4">
            <w:pPr>
              <w:jc w:val="left"/>
              <w:rPr>
                <w:rFonts w:asciiTheme="minorHAnsi" w:hAnsiTheme="minorHAnsi"/>
                <w:caps/>
                <w:sz w:val="20"/>
                <w:szCs w:val="20"/>
              </w:rPr>
            </w:pPr>
            <w:r w:rsidRPr="001C27A1">
              <w:rPr>
                <w:rFonts w:asciiTheme="minorHAnsi" w:hAnsiTheme="minorHAnsi"/>
                <w:sz w:val="20"/>
                <w:szCs w:val="20"/>
              </w:rPr>
              <w:t>Nova banka a.d. Banja Luka</w:t>
            </w:r>
          </w:p>
        </w:tc>
        <w:tc>
          <w:tcPr>
            <w:tcW w:w="992" w:type="dxa"/>
            <w:shd w:val="clear" w:color="auto" w:fill="FFFFFF" w:themeFill="background1"/>
            <w:vAlign w:val="center"/>
            <w:hideMark/>
          </w:tcPr>
          <w:p w14:paraId="1BC07772" w14:textId="77777777" w:rsidR="00545FA4" w:rsidRPr="001C27A1" w:rsidRDefault="00545FA4" w:rsidP="00545FA4">
            <w:pPr>
              <w:jc w:val="center"/>
              <w:rPr>
                <w:rFonts w:asciiTheme="minorHAnsi" w:hAnsiTheme="minorHAnsi"/>
                <w:sz w:val="20"/>
                <w:szCs w:val="20"/>
                <w:lang w:val="sr-Cyrl-RS"/>
              </w:rPr>
            </w:pPr>
            <w:r w:rsidRPr="001C27A1">
              <w:rPr>
                <w:rFonts w:asciiTheme="minorHAnsi" w:hAnsiTheme="minorHAnsi"/>
                <w:sz w:val="20"/>
                <w:szCs w:val="20"/>
              </w:rPr>
              <w:t>1</w:t>
            </w:r>
          </w:p>
        </w:tc>
        <w:tc>
          <w:tcPr>
            <w:tcW w:w="1418" w:type="dxa"/>
            <w:shd w:val="clear" w:color="auto" w:fill="FFFFFF" w:themeFill="background1"/>
            <w:vAlign w:val="center"/>
            <w:hideMark/>
          </w:tcPr>
          <w:p w14:paraId="41B31BDE"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rPr>
              <w:t>400.000,00</w:t>
            </w:r>
          </w:p>
        </w:tc>
        <w:tc>
          <w:tcPr>
            <w:tcW w:w="1559" w:type="dxa"/>
            <w:shd w:val="clear" w:color="auto" w:fill="FFFFFF" w:themeFill="background1"/>
            <w:vAlign w:val="center"/>
            <w:hideMark/>
          </w:tcPr>
          <w:p w14:paraId="0F40EA1E"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rPr>
              <w:t>280.000,00</w:t>
            </w:r>
          </w:p>
        </w:tc>
        <w:tc>
          <w:tcPr>
            <w:tcW w:w="1843" w:type="dxa"/>
            <w:shd w:val="clear" w:color="auto" w:fill="FFFFFF" w:themeFill="background1"/>
            <w:noWrap/>
            <w:vAlign w:val="center"/>
            <w:hideMark/>
          </w:tcPr>
          <w:p w14:paraId="48624BE7"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rPr>
              <w:t>66,66%</w:t>
            </w:r>
          </w:p>
        </w:tc>
      </w:tr>
      <w:tr w:rsidR="00545FA4" w:rsidRPr="001C27A1" w14:paraId="40030A81" w14:textId="77777777" w:rsidTr="001C27A1">
        <w:trPr>
          <w:trHeight w:val="229"/>
        </w:trPr>
        <w:tc>
          <w:tcPr>
            <w:tcW w:w="2992" w:type="dxa"/>
            <w:shd w:val="clear" w:color="auto" w:fill="FFFFFF" w:themeFill="background1"/>
            <w:vAlign w:val="center"/>
            <w:hideMark/>
          </w:tcPr>
          <w:p w14:paraId="61986DEA" w14:textId="77777777" w:rsidR="00545FA4" w:rsidRPr="001C27A1" w:rsidRDefault="00545FA4" w:rsidP="00545FA4">
            <w:pPr>
              <w:jc w:val="left"/>
              <w:rPr>
                <w:rFonts w:asciiTheme="minorHAnsi" w:hAnsiTheme="minorHAnsi"/>
                <w:caps/>
                <w:sz w:val="20"/>
                <w:szCs w:val="20"/>
              </w:rPr>
            </w:pPr>
            <w:r w:rsidRPr="001C27A1">
              <w:rPr>
                <w:rFonts w:asciiTheme="minorHAnsi" w:hAnsiTheme="minorHAnsi"/>
                <w:sz w:val="20"/>
                <w:szCs w:val="20"/>
              </w:rPr>
              <w:t>MF Banka a.d. Banja Luka</w:t>
            </w:r>
          </w:p>
        </w:tc>
        <w:tc>
          <w:tcPr>
            <w:tcW w:w="992" w:type="dxa"/>
            <w:shd w:val="clear" w:color="auto" w:fill="FFFFFF" w:themeFill="background1"/>
            <w:vAlign w:val="center"/>
            <w:hideMark/>
          </w:tcPr>
          <w:p w14:paraId="2FBDA138" w14:textId="77777777" w:rsidR="00545FA4" w:rsidRPr="001C27A1" w:rsidRDefault="00545FA4" w:rsidP="00545FA4">
            <w:pPr>
              <w:jc w:val="center"/>
              <w:rPr>
                <w:rFonts w:asciiTheme="minorHAnsi" w:hAnsiTheme="minorHAnsi"/>
                <w:sz w:val="20"/>
                <w:szCs w:val="20"/>
                <w:lang w:val="sr-Cyrl-RS"/>
              </w:rPr>
            </w:pPr>
            <w:r w:rsidRPr="001C27A1">
              <w:rPr>
                <w:rFonts w:asciiTheme="minorHAnsi" w:hAnsiTheme="minorHAnsi"/>
                <w:sz w:val="20"/>
                <w:szCs w:val="20"/>
              </w:rPr>
              <w:t>1</w:t>
            </w:r>
          </w:p>
        </w:tc>
        <w:tc>
          <w:tcPr>
            <w:tcW w:w="1418" w:type="dxa"/>
            <w:shd w:val="clear" w:color="auto" w:fill="FFFFFF" w:themeFill="background1"/>
            <w:vAlign w:val="center"/>
            <w:hideMark/>
          </w:tcPr>
          <w:p w14:paraId="18DEBAD0"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rPr>
              <w:t>200.000,00</w:t>
            </w:r>
          </w:p>
        </w:tc>
        <w:tc>
          <w:tcPr>
            <w:tcW w:w="1559" w:type="dxa"/>
            <w:shd w:val="clear" w:color="auto" w:fill="FFFFFF" w:themeFill="background1"/>
            <w:vAlign w:val="center"/>
            <w:hideMark/>
          </w:tcPr>
          <w:p w14:paraId="33B16C65"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rPr>
              <w:t>140.000,00</w:t>
            </w:r>
          </w:p>
        </w:tc>
        <w:tc>
          <w:tcPr>
            <w:tcW w:w="1843" w:type="dxa"/>
            <w:shd w:val="clear" w:color="auto" w:fill="FFFFFF" w:themeFill="background1"/>
            <w:noWrap/>
            <w:vAlign w:val="center"/>
            <w:hideMark/>
          </w:tcPr>
          <w:p w14:paraId="38982653" w14:textId="77777777" w:rsidR="00545FA4" w:rsidRPr="001C27A1" w:rsidRDefault="00545FA4" w:rsidP="00545FA4">
            <w:pPr>
              <w:jc w:val="right"/>
              <w:rPr>
                <w:rFonts w:asciiTheme="minorHAnsi" w:hAnsiTheme="minorHAnsi"/>
                <w:sz w:val="20"/>
                <w:szCs w:val="20"/>
              </w:rPr>
            </w:pPr>
            <w:r w:rsidRPr="001C27A1">
              <w:rPr>
                <w:rFonts w:asciiTheme="minorHAnsi" w:hAnsiTheme="minorHAnsi"/>
                <w:sz w:val="20"/>
                <w:szCs w:val="20"/>
              </w:rPr>
              <w:t>33,33%</w:t>
            </w:r>
          </w:p>
        </w:tc>
      </w:tr>
      <w:tr w:rsidR="00545FA4" w:rsidRPr="001C27A1" w14:paraId="43FDA440" w14:textId="77777777" w:rsidTr="001C27A1">
        <w:trPr>
          <w:trHeight w:val="222"/>
        </w:trPr>
        <w:tc>
          <w:tcPr>
            <w:tcW w:w="2992" w:type="dxa"/>
            <w:shd w:val="clear" w:color="auto" w:fill="8DB3E2" w:themeFill="text2" w:themeFillTint="66"/>
            <w:hideMark/>
          </w:tcPr>
          <w:p w14:paraId="4FB6D439" w14:textId="03B61696" w:rsidR="00545FA4" w:rsidRPr="001C27A1" w:rsidRDefault="00467FEE" w:rsidP="00545FA4">
            <w:pPr>
              <w:jc w:val="center"/>
              <w:rPr>
                <w:rFonts w:asciiTheme="minorHAnsi" w:hAnsiTheme="minorHAnsi"/>
                <w:sz w:val="20"/>
                <w:szCs w:val="20"/>
              </w:rPr>
            </w:pPr>
            <w:r>
              <w:rPr>
                <w:rFonts w:asciiTheme="minorHAnsi" w:hAnsiTheme="minorHAnsi"/>
                <w:b/>
                <w:bCs/>
                <w:color w:val="auto"/>
                <w:sz w:val="20"/>
                <w:szCs w:val="20"/>
              </w:rPr>
              <w:t>Ukupno</w:t>
            </w:r>
          </w:p>
        </w:tc>
        <w:tc>
          <w:tcPr>
            <w:tcW w:w="992" w:type="dxa"/>
            <w:shd w:val="clear" w:color="auto" w:fill="8DB3E2" w:themeFill="text2" w:themeFillTint="66"/>
          </w:tcPr>
          <w:p w14:paraId="33F874FC" w14:textId="77777777" w:rsidR="00545FA4" w:rsidRPr="001C27A1" w:rsidRDefault="00545FA4" w:rsidP="00545FA4">
            <w:pPr>
              <w:jc w:val="center"/>
              <w:rPr>
                <w:rFonts w:asciiTheme="minorHAnsi" w:hAnsiTheme="minorHAnsi"/>
                <w:sz w:val="20"/>
                <w:szCs w:val="20"/>
                <w:lang w:val="sr-Cyrl-RS"/>
              </w:rPr>
            </w:pPr>
            <w:r w:rsidRPr="001C27A1">
              <w:rPr>
                <w:rFonts w:asciiTheme="minorHAnsi" w:hAnsiTheme="minorHAnsi"/>
                <w:sz w:val="20"/>
                <w:szCs w:val="20"/>
              </w:rPr>
              <w:t>2</w:t>
            </w:r>
          </w:p>
        </w:tc>
        <w:tc>
          <w:tcPr>
            <w:tcW w:w="1418" w:type="dxa"/>
            <w:shd w:val="clear" w:color="auto" w:fill="8DB3E2" w:themeFill="text2" w:themeFillTint="66"/>
            <w:vAlign w:val="center"/>
            <w:hideMark/>
          </w:tcPr>
          <w:p w14:paraId="5DACBF10" w14:textId="77777777" w:rsidR="00545FA4" w:rsidRPr="001C27A1" w:rsidRDefault="00545FA4" w:rsidP="00545FA4">
            <w:pPr>
              <w:jc w:val="right"/>
              <w:rPr>
                <w:rFonts w:asciiTheme="minorHAnsi" w:hAnsiTheme="minorHAnsi"/>
                <w:sz w:val="20"/>
                <w:szCs w:val="20"/>
                <w:lang w:val="sr-Cyrl-RS"/>
              </w:rPr>
            </w:pPr>
            <w:r w:rsidRPr="001C27A1">
              <w:rPr>
                <w:rFonts w:asciiTheme="minorHAnsi" w:hAnsiTheme="minorHAnsi"/>
                <w:b/>
                <w:bCs/>
                <w:color w:val="auto"/>
                <w:sz w:val="20"/>
                <w:szCs w:val="20"/>
              </w:rPr>
              <w:t>600.000,00</w:t>
            </w:r>
          </w:p>
        </w:tc>
        <w:tc>
          <w:tcPr>
            <w:tcW w:w="1559" w:type="dxa"/>
            <w:shd w:val="clear" w:color="auto" w:fill="8DB3E2" w:themeFill="text2" w:themeFillTint="66"/>
            <w:vAlign w:val="center"/>
            <w:hideMark/>
          </w:tcPr>
          <w:p w14:paraId="472AA8A5" w14:textId="77777777" w:rsidR="00545FA4" w:rsidRPr="001C27A1" w:rsidRDefault="00545FA4" w:rsidP="00545FA4">
            <w:pPr>
              <w:jc w:val="right"/>
              <w:rPr>
                <w:rFonts w:asciiTheme="minorHAnsi" w:hAnsiTheme="minorHAnsi"/>
                <w:sz w:val="20"/>
                <w:szCs w:val="20"/>
              </w:rPr>
            </w:pPr>
            <w:r w:rsidRPr="001C27A1">
              <w:rPr>
                <w:rFonts w:asciiTheme="minorHAnsi" w:hAnsiTheme="minorHAnsi"/>
                <w:b/>
                <w:bCs/>
                <w:color w:val="auto"/>
                <w:sz w:val="20"/>
                <w:szCs w:val="20"/>
              </w:rPr>
              <w:t>420.000,00</w:t>
            </w:r>
          </w:p>
        </w:tc>
        <w:tc>
          <w:tcPr>
            <w:tcW w:w="1843" w:type="dxa"/>
            <w:shd w:val="clear" w:color="auto" w:fill="8DB3E2" w:themeFill="text2" w:themeFillTint="66"/>
            <w:noWrap/>
            <w:vAlign w:val="center"/>
            <w:hideMark/>
          </w:tcPr>
          <w:p w14:paraId="4A94A7FE" w14:textId="77777777" w:rsidR="00545FA4" w:rsidRPr="001C27A1" w:rsidRDefault="00545FA4" w:rsidP="00545FA4">
            <w:pPr>
              <w:jc w:val="right"/>
              <w:rPr>
                <w:rFonts w:asciiTheme="minorHAnsi" w:hAnsiTheme="minorHAnsi"/>
                <w:sz w:val="20"/>
                <w:szCs w:val="20"/>
                <w:lang w:val="sr-Cyrl-RS"/>
              </w:rPr>
            </w:pPr>
            <w:r w:rsidRPr="001C27A1">
              <w:rPr>
                <w:rFonts w:asciiTheme="minorHAnsi" w:hAnsiTheme="minorHAnsi"/>
                <w:b/>
                <w:bCs/>
                <w:color w:val="auto"/>
                <w:sz w:val="20"/>
                <w:szCs w:val="20"/>
              </w:rPr>
              <w:t>100,00%</w:t>
            </w:r>
          </w:p>
        </w:tc>
      </w:tr>
    </w:tbl>
    <w:p w14:paraId="7492F115"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4437978F" w14:textId="77777777" w:rsidR="00545FA4" w:rsidRPr="001C27A1" w:rsidRDefault="00545FA4" w:rsidP="00545FA4">
      <w:pPr>
        <w:spacing w:line="276" w:lineRule="auto"/>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eastAsia="en-US"/>
        </w:rPr>
        <w:t>Garantni program podrške privredi za ublažavanje posljedica pandemije bolesti COVID-19 je prestao da se sprovodi 31.12.2022. godine, te od tog trenutka nije moguće uključivanje novih kredita u portfolio. Izuzetak su plasmani gdje je ugovor o kreditu potpisan do kraja navedenog datuma, a sredstva plasirana do kraja januara 2023. godine. U skladu s tim, tabela 19 daje pregled dva kredita kod kojih je ugovor potpisan u decembru 2022. godine, a sredstva isplaćena tokom januara 2023. godine. Ukupan iznos plasiranih kredita je 600.000,00 KM, dok je iznos pripadajućih garancija 420.000,00 KM.</w:t>
      </w:r>
    </w:p>
    <w:p w14:paraId="23BE1634" w14:textId="77777777" w:rsidR="00545FA4" w:rsidRDefault="00545FA4" w:rsidP="00545FA4">
      <w:pPr>
        <w:spacing w:line="276" w:lineRule="auto"/>
        <w:rPr>
          <w:rFonts w:asciiTheme="minorHAnsi" w:eastAsiaTheme="minorHAnsi" w:hAnsiTheme="minorHAnsi"/>
          <w:color w:val="auto"/>
          <w:sz w:val="20"/>
          <w:szCs w:val="20"/>
          <w:lang w:val="sr-Cyrl-RS" w:eastAsia="en-US"/>
        </w:rPr>
      </w:pPr>
    </w:p>
    <w:p w14:paraId="4E6686C8" w14:textId="77777777" w:rsidR="00545FA4" w:rsidRDefault="00545FA4" w:rsidP="00545FA4">
      <w:pPr>
        <w:spacing w:line="276" w:lineRule="auto"/>
        <w:rPr>
          <w:rFonts w:asciiTheme="minorHAnsi" w:eastAsiaTheme="minorHAnsi" w:hAnsiTheme="minorHAnsi"/>
          <w:color w:val="auto"/>
          <w:sz w:val="20"/>
          <w:szCs w:val="20"/>
          <w:lang w:val="sr-Latn-BA" w:eastAsia="en-US"/>
        </w:rPr>
      </w:pPr>
    </w:p>
    <w:p w14:paraId="7573C9C6" w14:textId="77777777" w:rsidR="00467FEE" w:rsidRDefault="00467FEE" w:rsidP="00545FA4">
      <w:pPr>
        <w:spacing w:line="276" w:lineRule="auto"/>
        <w:rPr>
          <w:rFonts w:asciiTheme="minorHAnsi" w:eastAsiaTheme="minorHAnsi" w:hAnsiTheme="minorHAnsi"/>
          <w:color w:val="auto"/>
          <w:sz w:val="20"/>
          <w:szCs w:val="20"/>
          <w:lang w:val="sr-Latn-BA" w:eastAsia="en-US"/>
        </w:rPr>
      </w:pPr>
    </w:p>
    <w:p w14:paraId="757184D3" w14:textId="77777777" w:rsidR="00467FEE" w:rsidRDefault="00467FEE" w:rsidP="00545FA4">
      <w:pPr>
        <w:spacing w:line="276" w:lineRule="auto"/>
        <w:rPr>
          <w:rFonts w:asciiTheme="minorHAnsi" w:eastAsiaTheme="minorHAnsi" w:hAnsiTheme="minorHAnsi"/>
          <w:color w:val="auto"/>
          <w:sz w:val="20"/>
          <w:szCs w:val="20"/>
          <w:lang w:val="sr-Latn-BA" w:eastAsia="en-US"/>
        </w:rPr>
      </w:pPr>
    </w:p>
    <w:p w14:paraId="163E5D6B" w14:textId="77777777" w:rsidR="00467FEE" w:rsidRDefault="00467FEE" w:rsidP="00545FA4">
      <w:pPr>
        <w:spacing w:line="276" w:lineRule="auto"/>
        <w:rPr>
          <w:rFonts w:asciiTheme="minorHAnsi" w:eastAsiaTheme="minorHAnsi" w:hAnsiTheme="minorHAnsi"/>
          <w:color w:val="auto"/>
          <w:sz w:val="20"/>
          <w:szCs w:val="20"/>
          <w:lang w:val="sr-Latn-BA" w:eastAsia="en-US"/>
        </w:rPr>
      </w:pPr>
    </w:p>
    <w:p w14:paraId="67699934" w14:textId="77777777" w:rsidR="00511E73" w:rsidRDefault="00511E73" w:rsidP="00545FA4">
      <w:pPr>
        <w:spacing w:line="276" w:lineRule="auto"/>
        <w:rPr>
          <w:rFonts w:asciiTheme="minorHAnsi" w:eastAsiaTheme="minorHAnsi" w:hAnsiTheme="minorHAnsi"/>
          <w:color w:val="auto"/>
          <w:sz w:val="20"/>
          <w:szCs w:val="20"/>
          <w:lang w:val="sr-Latn-BA" w:eastAsia="en-US"/>
        </w:rPr>
      </w:pPr>
    </w:p>
    <w:p w14:paraId="536DEF1E" w14:textId="77777777" w:rsidR="00511E73" w:rsidRDefault="00511E73" w:rsidP="00545FA4">
      <w:pPr>
        <w:spacing w:line="276" w:lineRule="auto"/>
        <w:rPr>
          <w:rFonts w:asciiTheme="minorHAnsi" w:eastAsiaTheme="minorHAnsi" w:hAnsiTheme="minorHAnsi"/>
          <w:color w:val="auto"/>
          <w:sz w:val="20"/>
          <w:szCs w:val="20"/>
          <w:lang w:val="sr-Latn-BA" w:eastAsia="en-US"/>
        </w:rPr>
      </w:pPr>
    </w:p>
    <w:p w14:paraId="0223E27D" w14:textId="77777777" w:rsidR="00511E73" w:rsidRDefault="00511E73" w:rsidP="00545FA4">
      <w:pPr>
        <w:spacing w:line="276" w:lineRule="auto"/>
        <w:rPr>
          <w:rFonts w:asciiTheme="minorHAnsi" w:eastAsiaTheme="minorHAnsi" w:hAnsiTheme="minorHAnsi"/>
          <w:color w:val="auto"/>
          <w:sz w:val="20"/>
          <w:szCs w:val="20"/>
          <w:lang w:val="sr-Latn-BA" w:eastAsia="en-US"/>
        </w:rPr>
      </w:pPr>
    </w:p>
    <w:p w14:paraId="683F51CB" w14:textId="77777777" w:rsidR="00511E73" w:rsidRPr="00467FEE" w:rsidRDefault="00511E73" w:rsidP="00545FA4">
      <w:pPr>
        <w:spacing w:line="276" w:lineRule="auto"/>
        <w:rPr>
          <w:rFonts w:asciiTheme="minorHAnsi" w:eastAsiaTheme="minorHAnsi" w:hAnsiTheme="minorHAnsi"/>
          <w:color w:val="auto"/>
          <w:sz w:val="20"/>
          <w:szCs w:val="20"/>
          <w:lang w:val="sr-Latn-BA" w:eastAsia="en-US"/>
        </w:rPr>
      </w:pPr>
    </w:p>
    <w:p w14:paraId="4E4D81D8" w14:textId="77777777" w:rsidR="00A944C8" w:rsidRDefault="00A944C8" w:rsidP="00545FA4">
      <w:pPr>
        <w:spacing w:line="276" w:lineRule="auto"/>
        <w:rPr>
          <w:rFonts w:asciiTheme="minorHAnsi" w:eastAsiaTheme="minorHAnsi" w:hAnsiTheme="minorHAnsi"/>
          <w:color w:val="auto"/>
          <w:sz w:val="20"/>
          <w:szCs w:val="20"/>
          <w:lang w:val="sr-Cyrl-RS" w:eastAsia="en-US"/>
        </w:rPr>
      </w:pPr>
    </w:p>
    <w:p w14:paraId="0E7B177C" w14:textId="77777777" w:rsidR="00536E78" w:rsidRPr="001C27A1" w:rsidRDefault="00536E78" w:rsidP="00545FA4">
      <w:pPr>
        <w:spacing w:line="276" w:lineRule="auto"/>
        <w:rPr>
          <w:rFonts w:asciiTheme="minorHAnsi" w:eastAsiaTheme="minorHAnsi" w:hAnsiTheme="minorHAnsi"/>
          <w:color w:val="auto"/>
          <w:sz w:val="20"/>
          <w:szCs w:val="20"/>
          <w:lang w:val="sr-Cyrl-RS" w:eastAsia="en-US"/>
        </w:rPr>
      </w:pPr>
    </w:p>
    <w:p w14:paraId="2340A59F" w14:textId="77777777" w:rsidR="00545FA4" w:rsidRPr="001C27A1" w:rsidRDefault="00545FA4" w:rsidP="00545FA4">
      <w:pPr>
        <w:spacing w:line="276" w:lineRule="auto"/>
        <w:jc w:val="center"/>
        <w:rPr>
          <w:rFonts w:asciiTheme="minorHAnsi" w:hAnsiTheme="minorHAnsi"/>
          <w:b/>
          <w:sz w:val="20"/>
          <w:szCs w:val="20"/>
          <w:lang w:val="sr-Cyrl-RS"/>
        </w:rPr>
      </w:pPr>
      <w:r w:rsidRPr="001C27A1">
        <w:rPr>
          <w:rFonts w:asciiTheme="minorHAnsi" w:hAnsiTheme="minorHAnsi"/>
          <w:b/>
          <w:sz w:val="20"/>
          <w:szCs w:val="20"/>
        </w:rPr>
        <w:t xml:space="preserve">Pregled ukupno realizovanih kredita iz Programa COVID-19 po godinama </w:t>
      </w:r>
    </w:p>
    <w:p w14:paraId="021E99BC" w14:textId="77777777" w:rsidR="00545FA4" w:rsidRPr="001C27A1" w:rsidRDefault="00545FA4" w:rsidP="00545FA4">
      <w:pPr>
        <w:spacing w:line="276" w:lineRule="auto"/>
        <w:rPr>
          <w:rFonts w:asciiTheme="minorHAnsi" w:hAnsiTheme="minorHAnsi"/>
          <w:sz w:val="20"/>
          <w:szCs w:val="20"/>
          <w:lang w:val="sr-Cyrl-RS"/>
        </w:rPr>
      </w:pP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r w:rsidRPr="001C27A1">
        <w:rPr>
          <w:rFonts w:asciiTheme="minorHAnsi" w:hAnsiTheme="minorHAnsi"/>
          <w:sz w:val="20"/>
          <w:szCs w:val="20"/>
        </w:rPr>
        <w:tab/>
      </w:r>
    </w:p>
    <w:p w14:paraId="6AFC7405" w14:textId="77777777" w:rsidR="00545FA4" w:rsidRPr="001C27A1" w:rsidRDefault="002B5C72" w:rsidP="00545FA4">
      <w:pPr>
        <w:spacing w:line="276" w:lineRule="auto"/>
        <w:ind w:left="6372" w:firstLine="708"/>
        <w:rPr>
          <w:rFonts w:asciiTheme="minorHAnsi" w:hAnsiTheme="minorHAnsi"/>
          <w:b/>
          <w:color w:val="auto"/>
          <w:sz w:val="20"/>
          <w:szCs w:val="20"/>
          <w:lang w:val="sr-Cyrl-RS"/>
        </w:rPr>
      </w:pPr>
      <w:r>
        <w:rPr>
          <w:rFonts w:asciiTheme="minorHAnsi" w:hAnsiTheme="minorHAnsi"/>
          <w:b/>
          <w:color w:val="auto"/>
          <w:sz w:val="20"/>
          <w:szCs w:val="20"/>
        </w:rPr>
        <w:t xml:space="preserve">                  Tabela 18</w:t>
      </w:r>
    </w:p>
    <w:tbl>
      <w:tblPr>
        <w:tblW w:w="8804" w:type="dxa"/>
        <w:tblInd w:w="93" w:type="dxa"/>
        <w:tblLook w:val="04A0" w:firstRow="1" w:lastRow="0" w:firstColumn="1" w:lastColumn="0" w:noHBand="0" w:noVBand="1"/>
      </w:tblPr>
      <w:tblGrid>
        <w:gridCol w:w="1433"/>
        <w:gridCol w:w="1843"/>
        <w:gridCol w:w="2126"/>
        <w:gridCol w:w="1984"/>
        <w:gridCol w:w="1418"/>
      </w:tblGrid>
      <w:tr w:rsidR="00545FA4" w:rsidRPr="001C27A1" w14:paraId="5E393BE4" w14:textId="77777777" w:rsidTr="002B5C72">
        <w:trPr>
          <w:trHeight w:val="765"/>
        </w:trPr>
        <w:tc>
          <w:tcPr>
            <w:tcW w:w="1433"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71FBE2E5" w14:textId="1DD3105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Godin</w:t>
            </w:r>
            <w:r w:rsidR="00467FEE">
              <w:rPr>
                <w:rFonts w:asciiTheme="minorHAnsi" w:hAnsiTheme="minorHAnsi"/>
                <w:b/>
                <w:bCs/>
                <w:sz w:val="18"/>
                <w:szCs w:val="18"/>
              </w:rPr>
              <w:t>a</w:t>
            </w:r>
          </w:p>
        </w:tc>
        <w:tc>
          <w:tcPr>
            <w:tcW w:w="1843"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673C5E81" w14:textId="4B61E2F0"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 xml:space="preserve">Broj </w:t>
            </w:r>
            <w:r w:rsidR="00467FEE">
              <w:rPr>
                <w:rFonts w:asciiTheme="minorHAnsi" w:hAnsiTheme="minorHAnsi"/>
                <w:b/>
                <w:bCs/>
                <w:sz w:val="18"/>
                <w:szCs w:val="18"/>
              </w:rPr>
              <w:t>kredita</w:t>
            </w:r>
          </w:p>
        </w:tc>
        <w:tc>
          <w:tcPr>
            <w:tcW w:w="212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120269AF"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Iznos kredita</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019D2ADB" w14:textId="4E5BA801"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Iznos garancij</w:t>
            </w:r>
            <w:r w:rsidR="00467FEE">
              <w:rPr>
                <w:rFonts w:asciiTheme="minorHAnsi" w:hAnsiTheme="minorHAnsi"/>
                <w:b/>
                <w:bCs/>
                <w:sz w:val="18"/>
                <w:szCs w:val="18"/>
              </w:rPr>
              <w:t>a</w:t>
            </w:r>
          </w:p>
        </w:tc>
        <w:tc>
          <w:tcPr>
            <w:tcW w:w="1418"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0581C397"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Учешће</w:t>
            </w:r>
          </w:p>
        </w:tc>
      </w:tr>
      <w:tr w:rsidR="00545FA4" w:rsidRPr="001C27A1" w14:paraId="5992F2AE" w14:textId="77777777"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14:paraId="54BB7C77" w14:textId="77777777"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2020.</w:t>
            </w:r>
          </w:p>
        </w:tc>
        <w:tc>
          <w:tcPr>
            <w:tcW w:w="1843" w:type="dxa"/>
            <w:tcBorders>
              <w:top w:val="nil"/>
              <w:left w:val="nil"/>
              <w:bottom w:val="single" w:sz="4" w:space="0" w:color="auto"/>
              <w:right w:val="single" w:sz="4" w:space="0" w:color="auto"/>
            </w:tcBorders>
            <w:noWrap/>
            <w:vAlign w:val="center"/>
            <w:hideMark/>
          </w:tcPr>
          <w:p w14:paraId="37A2CBA1" w14:textId="77777777"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94</w:t>
            </w:r>
          </w:p>
        </w:tc>
        <w:tc>
          <w:tcPr>
            <w:tcW w:w="2126" w:type="dxa"/>
            <w:tcBorders>
              <w:top w:val="nil"/>
              <w:left w:val="nil"/>
              <w:bottom w:val="single" w:sz="4" w:space="0" w:color="auto"/>
              <w:right w:val="single" w:sz="4" w:space="0" w:color="auto"/>
            </w:tcBorders>
            <w:noWrap/>
            <w:vAlign w:val="center"/>
            <w:hideMark/>
          </w:tcPr>
          <w:p w14:paraId="7B6AB6A0"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9.751.501,00</w:t>
            </w:r>
          </w:p>
        </w:tc>
        <w:tc>
          <w:tcPr>
            <w:tcW w:w="1984" w:type="dxa"/>
            <w:tcBorders>
              <w:top w:val="nil"/>
              <w:left w:val="nil"/>
              <w:bottom w:val="single" w:sz="4" w:space="0" w:color="auto"/>
              <w:right w:val="single" w:sz="4" w:space="0" w:color="auto"/>
            </w:tcBorders>
            <w:noWrap/>
            <w:vAlign w:val="center"/>
            <w:hideMark/>
          </w:tcPr>
          <w:p w14:paraId="47ED21D8" w14:textId="77777777"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6.826.051,70</w:t>
            </w:r>
          </w:p>
        </w:tc>
        <w:tc>
          <w:tcPr>
            <w:tcW w:w="1418" w:type="dxa"/>
            <w:tcBorders>
              <w:top w:val="nil"/>
              <w:left w:val="nil"/>
              <w:bottom w:val="single" w:sz="4" w:space="0" w:color="auto"/>
              <w:right w:val="single" w:sz="4" w:space="0" w:color="auto"/>
            </w:tcBorders>
            <w:noWrap/>
            <w:vAlign w:val="center"/>
            <w:hideMark/>
          </w:tcPr>
          <w:p w14:paraId="6F382FE9"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16,01%</w:t>
            </w:r>
          </w:p>
        </w:tc>
      </w:tr>
      <w:tr w:rsidR="00545FA4" w:rsidRPr="001C27A1" w14:paraId="1B7C71A5" w14:textId="77777777"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14:paraId="7574F2EC" w14:textId="77777777"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2021.</w:t>
            </w:r>
          </w:p>
        </w:tc>
        <w:tc>
          <w:tcPr>
            <w:tcW w:w="1843" w:type="dxa"/>
            <w:tcBorders>
              <w:top w:val="nil"/>
              <w:left w:val="nil"/>
              <w:bottom w:val="single" w:sz="4" w:space="0" w:color="auto"/>
              <w:right w:val="single" w:sz="4" w:space="0" w:color="auto"/>
            </w:tcBorders>
            <w:noWrap/>
            <w:vAlign w:val="center"/>
            <w:hideMark/>
          </w:tcPr>
          <w:p w14:paraId="22982F4A" w14:textId="77777777"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238</w:t>
            </w:r>
          </w:p>
        </w:tc>
        <w:tc>
          <w:tcPr>
            <w:tcW w:w="2126" w:type="dxa"/>
            <w:tcBorders>
              <w:top w:val="nil"/>
              <w:left w:val="nil"/>
              <w:bottom w:val="single" w:sz="4" w:space="0" w:color="auto"/>
              <w:right w:val="single" w:sz="4" w:space="0" w:color="auto"/>
            </w:tcBorders>
            <w:noWrap/>
            <w:vAlign w:val="center"/>
            <w:hideMark/>
          </w:tcPr>
          <w:p w14:paraId="435ADE8F" w14:textId="77777777"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32.556.128,00</w:t>
            </w:r>
          </w:p>
        </w:tc>
        <w:tc>
          <w:tcPr>
            <w:tcW w:w="1984" w:type="dxa"/>
            <w:tcBorders>
              <w:top w:val="nil"/>
              <w:left w:val="nil"/>
              <w:bottom w:val="single" w:sz="4" w:space="0" w:color="auto"/>
              <w:right w:val="single" w:sz="4" w:space="0" w:color="auto"/>
            </w:tcBorders>
            <w:noWrap/>
            <w:vAlign w:val="center"/>
            <w:hideMark/>
          </w:tcPr>
          <w:p w14:paraId="1018E207" w14:textId="77777777"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22.789.289,60</w:t>
            </w:r>
          </w:p>
        </w:tc>
        <w:tc>
          <w:tcPr>
            <w:tcW w:w="1418" w:type="dxa"/>
            <w:tcBorders>
              <w:top w:val="nil"/>
              <w:left w:val="nil"/>
              <w:bottom w:val="single" w:sz="4" w:space="0" w:color="auto"/>
              <w:right w:val="single" w:sz="4" w:space="0" w:color="auto"/>
            </w:tcBorders>
            <w:noWrap/>
            <w:vAlign w:val="center"/>
            <w:hideMark/>
          </w:tcPr>
          <w:p w14:paraId="25A3E45C"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53,45%</w:t>
            </w:r>
          </w:p>
        </w:tc>
      </w:tr>
      <w:tr w:rsidR="00545FA4" w:rsidRPr="001C27A1" w14:paraId="469BD234" w14:textId="77777777"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14:paraId="102080B7" w14:textId="77777777"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2022.</w:t>
            </w:r>
          </w:p>
        </w:tc>
        <w:tc>
          <w:tcPr>
            <w:tcW w:w="1843" w:type="dxa"/>
            <w:tcBorders>
              <w:top w:val="nil"/>
              <w:left w:val="nil"/>
              <w:bottom w:val="single" w:sz="4" w:space="0" w:color="auto"/>
              <w:right w:val="single" w:sz="4" w:space="0" w:color="auto"/>
            </w:tcBorders>
            <w:noWrap/>
            <w:vAlign w:val="center"/>
            <w:hideMark/>
          </w:tcPr>
          <w:p w14:paraId="49F6A1AE" w14:textId="77777777"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82</w:t>
            </w:r>
          </w:p>
        </w:tc>
        <w:tc>
          <w:tcPr>
            <w:tcW w:w="2126" w:type="dxa"/>
            <w:tcBorders>
              <w:top w:val="nil"/>
              <w:left w:val="nil"/>
              <w:bottom w:val="single" w:sz="4" w:space="0" w:color="auto"/>
              <w:right w:val="single" w:sz="4" w:space="0" w:color="auto"/>
            </w:tcBorders>
            <w:noWrap/>
            <w:vAlign w:val="center"/>
            <w:hideMark/>
          </w:tcPr>
          <w:p w14:paraId="15A568B4" w14:textId="77777777" w:rsidR="00545FA4" w:rsidRPr="002B5C72" w:rsidRDefault="00545FA4" w:rsidP="00545FA4">
            <w:pPr>
              <w:jc w:val="right"/>
              <w:rPr>
                <w:rFonts w:asciiTheme="minorHAnsi" w:hAnsiTheme="minorHAnsi"/>
                <w:color w:val="000000" w:themeColor="text1"/>
                <w:sz w:val="18"/>
                <w:szCs w:val="18"/>
              </w:rPr>
            </w:pPr>
            <w:r w:rsidRPr="002B5C72">
              <w:rPr>
                <w:rFonts w:asciiTheme="minorHAnsi" w:hAnsiTheme="minorHAnsi"/>
                <w:color w:val="000000" w:themeColor="text1"/>
                <w:sz w:val="18"/>
                <w:szCs w:val="18"/>
              </w:rPr>
              <w:t>18.003.000,01</w:t>
            </w:r>
          </w:p>
        </w:tc>
        <w:tc>
          <w:tcPr>
            <w:tcW w:w="1984" w:type="dxa"/>
            <w:tcBorders>
              <w:top w:val="nil"/>
              <w:left w:val="nil"/>
              <w:bottom w:val="single" w:sz="4" w:space="0" w:color="auto"/>
              <w:right w:val="single" w:sz="4" w:space="0" w:color="auto"/>
            </w:tcBorders>
            <w:noWrap/>
            <w:vAlign w:val="center"/>
            <w:hideMark/>
          </w:tcPr>
          <w:p w14:paraId="05AE88BA" w14:textId="77777777" w:rsidR="00545FA4" w:rsidRPr="002B5C72" w:rsidRDefault="00545FA4" w:rsidP="00545FA4">
            <w:pPr>
              <w:jc w:val="right"/>
              <w:rPr>
                <w:rFonts w:asciiTheme="minorHAnsi" w:hAnsiTheme="minorHAnsi"/>
                <w:color w:val="000000" w:themeColor="text1"/>
                <w:sz w:val="18"/>
                <w:szCs w:val="18"/>
                <w:lang w:val="sr-Cyrl-RS"/>
              </w:rPr>
            </w:pPr>
            <w:r w:rsidRPr="002B5C72">
              <w:rPr>
                <w:rFonts w:asciiTheme="minorHAnsi" w:hAnsiTheme="minorHAnsi"/>
                <w:color w:val="000000" w:themeColor="text1"/>
                <w:sz w:val="18"/>
                <w:szCs w:val="18"/>
              </w:rPr>
              <w:t>12.602.100,00</w:t>
            </w:r>
          </w:p>
        </w:tc>
        <w:tc>
          <w:tcPr>
            <w:tcW w:w="1418" w:type="dxa"/>
            <w:tcBorders>
              <w:top w:val="nil"/>
              <w:left w:val="nil"/>
              <w:bottom w:val="single" w:sz="4" w:space="0" w:color="auto"/>
              <w:right w:val="single" w:sz="4" w:space="0" w:color="auto"/>
            </w:tcBorders>
            <w:noWrap/>
            <w:vAlign w:val="center"/>
            <w:hideMark/>
          </w:tcPr>
          <w:p w14:paraId="13BFF80D"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29,56%</w:t>
            </w:r>
          </w:p>
        </w:tc>
      </w:tr>
      <w:tr w:rsidR="00545FA4" w:rsidRPr="001C27A1" w14:paraId="6EBB3435" w14:textId="77777777" w:rsidTr="002B5C72">
        <w:trPr>
          <w:trHeight w:val="315"/>
        </w:trPr>
        <w:tc>
          <w:tcPr>
            <w:tcW w:w="1433"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62DBF9AB" w14:textId="77777777" w:rsidR="00545FA4" w:rsidRPr="002B5C72" w:rsidRDefault="00545FA4" w:rsidP="002B5C72">
            <w:pPr>
              <w:jc w:val="center"/>
              <w:rPr>
                <w:rFonts w:asciiTheme="minorHAnsi" w:hAnsiTheme="minorHAnsi"/>
                <w:bCs/>
                <w:sz w:val="18"/>
                <w:szCs w:val="18"/>
              </w:rPr>
            </w:pPr>
            <w:r w:rsidRPr="002B5C72">
              <w:rPr>
                <w:rFonts w:asciiTheme="minorHAnsi" w:hAnsiTheme="minorHAnsi"/>
                <w:bCs/>
                <w:sz w:val="18"/>
                <w:szCs w:val="18"/>
              </w:rPr>
              <w:t>2023.</w:t>
            </w:r>
          </w:p>
        </w:tc>
        <w:tc>
          <w:tcPr>
            <w:tcW w:w="1843" w:type="dxa"/>
            <w:tcBorders>
              <w:top w:val="nil"/>
              <w:left w:val="nil"/>
              <w:bottom w:val="single" w:sz="4" w:space="0" w:color="auto"/>
              <w:right w:val="single" w:sz="4" w:space="0" w:color="auto"/>
            </w:tcBorders>
            <w:shd w:val="clear" w:color="auto" w:fill="F2F2F2" w:themeFill="background1" w:themeFillShade="F2"/>
            <w:noWrap/>
            <w:vAlign w:val="center"/>
          </w:tcPr>
          <w:p w14:paraId="2C05FABA" w14:textId="77777777" w:rsidR="00545FA4" w:rsidRPr="002B5C72" w:rsidRDefault="00545FA4" w:rsidP="00545FA4">
            <w:pPr>
              <w:jc w:val="center"/>
              <w:rPr>
                <w:rFonts w:asciiTheme="minorHAnsi" w:hAnsiTheme="minorHAnsi"/>
                <w:bCs/>
                <w:sz w:val="18"/>
                <w:szCs w:val="18"/>
              </w:rPr>
            </w:pPr>
            <w:r w:rsidRPr="002B5C72">
              <w:rPr>
                <w:rFonts w:asciiTheme="minorHAnsi" w:hAnsiTheme="minorHAnsi"/>
                <w:bCs/>
                <w:sz w:val="18"/>
                <w:szCs w:val="18"/>
              </w:rPr>
              <w:t>2</w:t>
            </w:r>
          </w:p>
        </w:tc>
        <w:tc>
          <w:tcPr>
            <w:tcW w:w="2126" w:type="dxa"/>
            <w:tcBorders>
              <w:top w:val="nil"/>
              <w:left w:val="nil"/>
              <w:bottom w:val="single" w:sz="4" w:space="0" w:color="auto"/>
              <w:right w:val="single" w:sz="4" w:space="0" w:color="auto"/>
            </w:tcBorders>
            <w:shd w:val="clear" w:color="auto" w:fill="F2F2F2" w:themeFill="background1" w:themeFillShade="F2"/>
            <w:noWrap/>
            <w:vAlign w:val="center"/>
          </w:tcPr>
          <w:p w14:paraId="7C7070BB" w14:textId="77777777" w:rsidR="00545FA4" w:rsidRPr="002B5C72" w:rsidRDefault="00545FA4" w:rsidP="00545FA4">
            <w:pPr>
              <w:jc w:val="right"/>
              <w:rPr>
                <w:rFonts w:asciiTheme="minorHAnsi" w:hAnsiTheme="minorHAnsi"/>
                <w:bCs/>
                <w:sz w:val="18"/>
                <w:szCs w:val="18"/>
              </w:rPr>
            </w:pPr>
            <w:r w:rsidRPr="002B5C72">
              <w:rPr>
                <w:rFonts w:asciiTheme="minorHAnsi" w:hAnsiTheme="minorHAnsi"/>
                <w:bCs/>
                <w:sz w:val="18"/>
                <w:szCs w:val="18"/>
              </w:rPr>
              <w:t>600.000,00</w:t>
            </w:r>
          </w:p>
        </w:tc>
        <w:tc>
          <w:tcPr>
            <w:tcW w:w="1984" w:type="dxa"/>
            <w:tcBorders>
              <w:top w:val="nil"/>
              <w:left w:val="nil"/>
              <w:bottom w:val="single" w:sz="4" w:space="0" w:color="auto"/>
              <w:right w:val="single" w:sz="4" w:space="0" w:color="auto"/>
            </w:tcBorders>
            <w:shd w:val="clear" w:color="auto" w:fill="F2F2F2" w:themeFill="background1" w:themeFillShade="F2"/>
            <w:noWrap/>
            <w:vAlign w:val="center"/>
          </w:tcPr>
          <w:p w14:paraId="00A1BADC" w14:textId="77777777" w:rsidR="00545FA4" w:rsidRPr="002B5C72" w:rsidRDefault="00545FA4" w:rsidP="00545FA4">
            <w:pPr>
              <w:jc w:val="right"/>
              <w:rPr>
                <w:rFonts w:asciiTheme="minorHAnsi" w:hAnsiTheme="minorHAnsi"/>
                <w:bCs/>
                <w:sz w:val="18"/>
                <w:szCs w:val="18"/>
              </w:rPr>
            </w:pPr>
            <w:r w:rsidRPr="002B5C72">
              <w:rPr>
                <w:rFonts w:asciiTheme="minorHAnsi" w:hAnsiTheme="minorHAnsi"/>
                <w:bCs/>
                <w:sz w:val="18"/>
                <w:szCs w:val="18"/>
              </w:rPr>
              <w:t>420.000,00</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tcPr>
          <w:p w14:paraId="578A4663" w14:textId="77777777" w:rsidR="00545FA4" w:rsidRPr="002B5C72" w:rsidRDefault="00545FA4" w:rsidP="00545FA4">
            <w:pPr>
              <w:jc w:val="right"/>
              <w:rPr>
                <w:rFonts w:asciiTheme="minorHAnsi" w:hAnsiTheme="minorHAnsi"/>
                <w:bCs/>
                <w:sz w:val="18"/>
                <w:szCs w:val="18"/>
                <w:lang w:val="sr-Cyrl-RS"/>
              </w:rPr>
            </w:pPr>
            <w:r w:rsidRPr="002B5C72">
              <w:rPr>
                <w:rFonts w:asciiTheme="minorHAnsi" w:hAnsiTheme="minorHAnsi"/>
                <w:bCs/>
                <w:sz w:val="18"/>
                <w:szCs w:val="18"/>
              </w:rPr>
              <w:t>0,98%</w:t>
            </w:r>
          </w:p>
        </w:tc>
      </w:tr>
      <w:tr w:rsidR="00545FA4" w:rsidRPr="001C27A1" w14:paraId="187F3EC1" w14:textId="77777777" w:rsidTr="002B5C72">
        <w:trPr>
          <w:trHeight w:val="315"/>
        </w:trPr>
        <w:tc>
          <w:tcPr>
            <w:tcW w:w="1433"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1ECEBE4E" w14:textId="3D1C8981" w:rsidR="00545FA4" w:rsidRPr="002B5C72" w:rsidRDefault="00467FEE" w:rsidP="00545FA4">
            <w:pPr>
              <w:rPr>
                <w:rFonts w:asciiTheme="minorHAnsi" w:hAnsiTheme="minorHAnsi"/>
                <w:b/>
                <w:bCs/>
                <w:sz w:val="18"/>
                <w:szCs w:val="18"/>
              </w:rPr>
            </w:pPr>
            <w:r>
              <w:rPr>
                <w:rFonts w:asciiTheme="minorHAnsi" w:hAnsiTheme="minorHAnsi"/>
                <w:b/>
                <w:bCs/>
                <w:sz w:val="18"/>
                <w:szCs w:val="18"/>
              </w:rPr>
              <w:t>Ukupno</w:t>
            </w:r>
          </w:p>
        </w:tc>
        <w:tc>
          <w:tcPr>
            <w:tcW w:w="1843" w:type="dxa"/>
            <w:tcBorders>
              <w:top w:val="nil"/>
              <w:left w:val="nil"/>
              <w:bottom w:val="single" w:sz="4" w:space="0" w:color="auto"/>
              <w:right w:val="single" w:sz="4" w:space="0" w:color="auto"/>
            </w:tcBorders>
            <w:shd w:val="clear" w:color="auto" w:fill="8DB3E2" w:themeFill="text2" w:themeFillTint="66"/>
            <w:noWrap/>
            <w:vAlign w:val="center"/>
            <w:hideMark/>
          </w:tcPr>
          <w:p w14:paraId="7C678349"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416</w:t>
            </w:r>
          </w:p>
        </w:tc>
        <w:tc>
          <w:tcPr>
            <w:tcW w:w="2126" w:type="dxa"/>
            <w:tcBorders>
              <w:top w:val="nil"/>
              <w:left w:val="nil"/>
              <w:bottom w:val="single" w:sz="4" w:space="0" w:color="auto"/>
              <w:right w:val="single" w:sz="4" w:space="0" w:color="auto"/>
            </w:tcBorders>
            <w:shd w:val="clear" w:color="auto" w:fill="8DB3E2" w:themeFill="text2" w:themeFillTint="66"/>
            <w:noWrap/>
            <w:vAlign w:val="center"/>
            <w:hideMark/>
          </w:tcPr>
          <w:p w14:paraId="2A247644" w14:textId="77777777" w:rsidR="00545FA4" w:rsidRPr="002B5C72" w:rsidRDefault="00545FA4" w:rsidP="00545FA4">
            <w:pPr>
              <w:jc w:val="right"/>
              <w:rPr>
                <w:rFonts w:asciiTheme="minorHAnsi" w:hAnsiTheme="minorHAnsi"/>
                <w:b/>
                <w:bCs/>
                <w:sz w:val="18"/>
                <w:szCs w:val="18"/>
                <w:lang w:val="sr-Cyrl-RS"/>
              </w:rPr>
            </w:pPr>
            <w:r w:rsidRPr="002B5C72">
              <w:rPr>
                <w:rFonts w:asciiTheme="minorHAnsi" w:hAnsiTheme="minorHAnsi"/>
                <w:b/>
                <w:bCs/>
                <w:sz w:val="18"/>
                <w:szCs w:val="18"/>
              </w:rPr>
              <w:t>60.910.629,00</w:t>
            </w:r>
          </w:p>
        </w:tc>
        <w:tc>
          <w:tcPr>
            <w:tcW w:w="1984" w:type="dxa"/>
            <w:tcBorders>
              <w:top w:val="nil"/>
              <w:left w:val="nil"/>
              <w:bottom w:val="single" w:sz="4" w:space="0" w:color="auto"/>
              <w:right w:val="single" w:sz="4" w:space="0" w:color="auto"/>
            </w:tcBorders>
            <w:shd w:val="clear" w:color="auto" w:fill="8DB3E2" w:themeFill="text2" w:themeFillTint="66"/>
            <w:noWrap/>
            <w:vAlign w:val="center"/>
            <w:hideMark/>
          </w:tcPr>
          <w:p w14:paraId="53D9D429" w14:textId="77777777" w:rsidR="00545FA4" w:rsidRPr="002B5C72" w:rsidRDefault="00545FA4" w:rsidP="00545FA4">
            <w:pPr>
              <w:jc w:val="right"/>
              <w:rPr>
                <w:rFonts w:asciiTheme="minorHAnsi" w:hAnsiTheme="minorHAnsi"/>
                <w:b/>
                <w:bCs/>
                <w:sz w:val="18"/>
                <w:szCs w:val="18"/>
                <w:lang w:val="sr-Cyrl-RS"/>
              </w:rPr>
            </w:pPr>
            <w:r w:rsidRPr="002B5C72">
              <w:rPr>
                <w:rFonts w:asciiTheme="minorHAnsi" w:hAnsiTheme="minorHAnsi"/>
                <w:b/>
                <w:bCs/>
                <w:sz w:val="18"/>
                <w:szCs w:val="18"/>
              </w:rPr>
              <w:t>42.637.440,30</w:t>
            </w:r>
          </w:p>
        </w:tc>
        <w:tc>
          <w:tcPr>
            <w:tcW w:w="1418" w:type="dxa"/>
            <w:tcBorders>
              <w:top w:val="nil"/>
              <w:left w:val="nil"/>
              <w:bottom w:val="single" w:sz="4" w:space="0" w:color="auto"/>
              <w:right w:val="single" w:sz="4" w:space="0" w:color="auto"/>
            </w:tcBorders>
            <w:shd w:val="clear" w:color="auto" w:fill="8DB3E2" w:themeFill="text2" w:themeFillTint="66"/>
            <w:noWrap/>
            <w:vAlign w:val="center"/>
            <w:hideMark/>
          </w:tcPr>
          <w:p w14:paraId="66AD1158"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100,00%</w:t>
            </w:r>
          </w:p>
        </w:tc>
      </w:tr>
    </w:tbl>
    <w:p w14:paraId="64972729"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eastAsia="en-US"/>
        </w:rPr>
        <w:t xml:space="preserve"> </w:t>
      </w:r>
    </w:p>
    <w:p w14:paraId="15C640D0"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eastAsia="en-US"/>
        </w:rPr>
        <w:t>Od početka Garantnog programa u septembru 2020. godine do kraja januara 2023. godine, koji je bio poslednji mogući mjesec za uključenje kredita u portfelj, u okviru Programa je plasirano 416 kredita ukupnog iznosa 60.910.629,71 KM, gdje pripadajuće garancije iznose 42.637.440,80 KM. Od ukupno plasiranih kredita i garancija za cijeli period realizacije Garantnog programa COVID-19, najviše ih je plasirano u 2021. godini (53,45%).</w:t>
      </w:r>
    </w:p>
    <w:p w14:paraId="71B13B22" w14:textId="77777777" w:rsidR="00545FA4" w:rsidRPr="001C27A1" w:rsidRDefault="00545FA4" w:rsidP="00545FA4">
      <w:pPr>
        <w:spacing w:line="276" w:lineRule="auto"/>
        <w:jc w:val="center"/>
        <w:rPr>
          <w:rFonts w:asciiTheme="minorHAnsi" w:eastAsiaTheme="minorHAnsi" w:hAnsiTheme="minorHAnsi"/>
          <w:color w:val="auto"/>
          <w:sz w:val="20"/>
          <w:szCs w:val="20"/>
          <w:lang w:val="sr-Cyrl-RS" w:eastAsia="en-US"/>
        </w:rPr>
      </w:pPr>
      <w:r w:rsidRPr="001C27A1">
        <w:rPr>
          <w:rFonts w:asciiTheme="minorHAnsi" w:eastAsiaTheme="minorHAnsi" w:hAnsiTheme="minorHAnsi"/>
          <w:b/>
          <w:color w:val="auto"/>
          <w:sz w:val="20"/>
          <w:szCs w:val="20"/>
          <w:lang w:eastAsia="en-US"/>
        </w:rPr>
        <w:br/>
        <w:t>Pregled realizovanih kredita iz Programa COVID-19 po finansijskim posrednicima u periodu 2020. - 2023. godina</w:t>
      </w:r>
    </w:p>
    <w:p w14:paraId="373683CF" w14:textId="77777777" w:rsidR="00545FA4" w:rsidRPr="001C27A1" w:rsidRDefault="00545FA4" w:rsidP="00545FA4">
      <w:pPr>
        <w:spacing w:line="276" w:lineRule="auto"/>
        <w:rPr>
          <w:rFonts w:asciiTheme="minorHAnsi" w:eastAsiaTheme="minorHAnsi" w:hAnsiTheme="minorHAnsi"/>
          <w:b/>
          <w:color w:val="auto"/>
          <w:sz w:val="20"/>
          <w:szCs w:val="20"/>
          <w:lang w:val="sr-Cyrl-RS" w:eastAsia="en-US"/>
        </w:rPr>
      </w:pP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r>
      <w:r w:rsidRPr="001C27A1">
        <w:rPr>
          <w:rFonts w:asciiTheme="minorHAnsi" w:eastAsiaTheme="minorHAnsi" w:hAnsiTheme="minorHAnsi"/>
          <w:color w:val="auto"/>
          <w:sz w:val="20"/>
          <w:szCs w:val="20"/>
          <w:lang w:eastAsia="en-US"/>
        </w:rPr>
        <w:tab/>
        <w:t xml:space="preserve">                </w:t>
      </w:r>
      <w:r w:rsidR="00A944C8">
        <w:rPr>
          <w:rFonts w:asciiTheme="minorHAnsi" w:eastAsiaTheme="minorHAnsi" w:hAnsiTheme="minorHAnsi"/>
          <w:b/>
          <w:color w:val="auto"/>
          <w:sz w:val="20"/>
          <w:szCs w:val="20"/>
          <w:lang w:eastAsia="en-US"/>
        </w:rPr>
        <w:t>Tabela 19</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1039"/>
        <w:gridCol w:w="1551"/>
        <w:gridCol w:w="1560"/>
        <w:gridCol w:w="1275"/>
      </w:tblGrid>
      <w:tr w:rsidR="00545FA4" w:rsidRPr="001C27A1" w14:paraId="3168604C" w14:textId="77777777" w:rsidTr="002B5C72">
        <w:trPr>
          <w:trHeight w:val="644"/>
        </w:trPr>
        <w:tc>
          <w:tcPr>
            <w:tcW w:w="3364" w:type="dxa"/>
            <w:shd w:val="clear" w:color="auto" w:fill="8DB3E2" w:themeFill="text2" w:themeFillTint="66"/>
            <w:noWrap/>
            <w:vAlign w:val="center"/>
            <w:hideMark/>
          </w:tcPr>
          <w:p w14:paraId="416B6ACD"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Finansijski posrednik</w:t>
            </w:r>
          </w:p>
        </w:tc>
        <w:tc>
          <w:tcPr>
            <w:tcW w:w="1039" w:type="dxa"/>
            <w:shd w:val="clear" w:color="auto" w:fill="8DB3E2" w:themeFill="text2" w:themeFillTint="66"/>
            <w:vAlign w:val="center"/>
          </w:tcPr>
          <w:p w14:paraId="50ED02B4" w14:textId="77777777" w:rsidR="00545FA4" w:rsidRPr="002B5C72" w:rsidRDefault="00545FA4" w:rsidP="00545FA4">
            <w:pPr>
              <w:jc w:val="center"/>
              <w:rPr>
                <w:rFonts w:asciiTheme="minorHAnsi" w:hAnsiTheme="minorHAnsi"/>
                <w:b/>
                <w:bCs/>
                <w:sz w:val="18"/>
                <w:szCs w:val="18"/>
                <w:lang w:val="sr-Cyrl-RS"/>
              </w:rPr>
            </w:pPr>
            <w:r w:rsidRPr="002B5C72">
              <w:rPr>
                <w:rFonts w:asciiTheme="minorHAnsi" w:hAnsiTheme="minorHAnsi"/>
                <w:b/>
                <w:bCs/>
                <w:sz w:val="18"/>
                <w:szCs w:val="18"/>
              </w:rPr>
              <w:t>Broj garancija</w:t>
            </w:r>
          </w:p>
        </w:tc>
        <w:tc>
          <w:tcPr>
            <w:tcW w:w="1551" w:type="dxa"/>
            <w:shd w:val="clear" w:color="auto" w:fill="8DB3E2" w:themeFill="text2" w:themeFillTint="66"/>
            <w:noWrap/>
            <w:vAlign w:val="center"/>
            <w:hideMark/>
          </w:tcPr>
          <w:p w14:paraId="2F8D9121"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Iznos kredita</w:t>
            </w:r>
          </w:p>
        </w:tc>
        <w:tc>
          <w:tcPr>
            <w:tcW w:w="1560" w:type="dxa"/>
            <w:shd w:val="clear" w:color="auto" w:fill="8DB3E2" w:themeFill="text2" w:themeFillTint="66"/>
            <w:noWrap/>
            <w:vAlign w:val="center"/>
            <w:hideMark/>
          </w:tcPr>
          <w:p w14:paraId="65055B61"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Iznos garancije</w:t>
            </w:r>
          </w:p>
        </w:tc>
        <w:tc>
          <w:tcPr>
            <w:tcW w:w="1275" w:type="dxa"/>
            <w:shd w:val="clear" w:color="auto" w:fill="8DB3E2" w:themeFill="text2" w:themeFillTint="66"/>
            <w:vAlign w:val="center"/>
            <w:hideMark/>
          </w:tcPr>
          <w:p w14:paraId="198F8184" w14:textId="77777777"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Učešće u ukupnim kreditima</w:t>
            </w:r>
          </w:p>
        </w:tc>
      </w:tr>
      <w:tr w:rsidR="00545FA4" w:rsidRPr="001C27A1" w14:paraId="5B85DB34" w14:textId="77777777" w:rsidTr="00545FA4">
        <w:trPr>
          <w:trHeight w:val="315"/>
        </w:trPr>
        <w:tc>
          <w:tcPr>
            <w:tcW w:w="3364" w:type="dxa"/>
            <w:shd w:val="clear" w:color="auto" w:fill="auto"/>
            <w:noWrap/>
            <w:vAlign w:val="center"/>
            <w:hideMark/>
          </w:tcPr>
          <w:p w14:paraId="0C43180F"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Procredit bank d.d. Sarajevo</w:t>
            </w:r>
          </w:p>
        </w:tc>
        <w:tc>
          <w:tcPr>
            <w:tcW w:w="1039" w:type="dxa"/>
            <w:vAlign w:val="center"/>
          </w:tcPr>
          <w:p w14:paraId="04FE9FC4"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188</w:t>
            </w:r>
          </w:p>
        </w:tc>
        <w:tc>
          <w:tcPr>
            <w:tcW w:w="1551" w:type="dxa"/>
            <w:shd w:val="clear" w:color="auto" w:fill="auto"/>
            <w:noWrap/>
            <w:vAlign w:val="center"/>
            <w:hideMark/>
          </w:tcPr>
          <w:p w14:paraId="3743CB0A"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34.171.000,00</w:t>
            </w:r>
          </w:p>
        </w:tc>
        <w:tc>
          <w:tcPr>
            <w:tcW w:w="1560" w:type="dxa"/>
            <w:shd w:val="clear" w:color="auto" w:fill="auto"/>
            <w:noWrap/>
            <w:vAlign w:val="center"/>
            <w:hideMark/>
          </w:tcPr>
          <w:p w14:paraId="3ED1183F"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23.919.700,00</w:t>
            </w:r>
          </w:p>
        </w:tc>
        <w:tc>
          <w:tcPr>
            <w:tcW w:w="1275" w:type="dxa"/>
            <w:shd w:val="clear" w:color="auto" w:fill="auto"/>
            <w:noWrap/>
            <w:vAlign w:val="center"/>
            <w:hideMark/>
          </w:tcPr>
          <w:p w14:paraId="769C0C04"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56,10%</w:t>
            </w:r>
          </w:p>
        </w:tc>
      </w:tr>
      <w:tr w:rsidR="00545FA4" w:rsidRPr="001C27A1" w14:paraId="4CF814F1" w14:textId="77777777" w:rsidTr="00545FA4">
        <w:trPr>
          <w:trHeight w:val="315"/>
        </w:trPr>
        <w:tc>
          <w:tcPr>
            <w:tcW w:w="3364" w:type="dxa"/>
            <w:shd w:val="clear" w:color="auto" w:fill="auto"/>
            <w:noWrap/>
            <w:vAlign w:val="center"/>
            <w:hideMark/>
          </w:tcPr>
          <w:p w14:paraId="39374D81"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MF Banka a.d. Banja Luka</w:t>
            </w:r>
          </w:p>
        </w:tc>
        <w:tc>
          <w:tcPr>
            <w:tcW w:w="1039" w:type="dxa"/>
            <w:vAlign w:val="center"/>
          </w:tcPr>
          <w:p w14:paraId="19A5321F"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85</w:t>
            </w:r>
          </w:p>
        </w:tc>
        <w:tc>
          <w:tcPr>
            <w:tcW w:w="1551" w:type="dxa"/>
            <w:shd w:val="clear" w:color="auto" w:fill="auto"/>
            <w:noWrap/>
            <w:vAlign w:val="center"/>
            <w:hideMark/>
          </w:tcPr>
          <w:p w14:paraId="71808415"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12.632.700,00</w:t>
            </w:r>
          </w:p>
        </w:tc>
        <w:tc>
          <w:tcPr>
            <w:tcW w:w="1560" w:type="dxa"/>
            <w:shd w:val="clear" w:color="auto" w:fill="auto"/>
            <w:noWrap/>
            <w:vAlign w:val="center"/>
            <w:hideMark/>
          </w:tcPr>
          <w:p w14:paraId="6A581C00"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8.842.890,00</w:t>
            </w:r>
          </w:p>
        </w:tc>
        <w:tc>
          <w:tcPr>
            <w:tcW w:w="1275" w:type="dxa"/>
            <w:shd w:val="clear" w:color="auto" w:fill="auto"/>
            <w:noWrap/>
            <w:vAlign w:val="center"/>
            <w:hideMark/>
          </w:tcPr>
          <w:p w14:paraId="51372E4D"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20,74%</w:t>
            </w:r>
          </w:p>
        </w:tc>
      </w:tr>
      <w:tr w:rsidR="00545FA4" w:rsidRPr="001C27A1" w14:paraId="2DD1C385" w14:textId="77777777" w:rsidTr="00545FA4">
        <w:trPr>
          <w:trHeight w:val="315"/>
        </w:trPr>
        <w:tc>
          <w:tcPr>
            <w:tcW w:w="3364" w:type="dxa"/>
            <w:shd w:val="clear" w:color="auto" w:fill="auto"/>
            <w:noWrap/>
            <w:vAlign w:val="center"/>
            <w:hideMark/>
          </w:tcPr>
          <w:p w14:paraId="64483AA3"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Unicredit bank a.d. Banja Luka</w:t>
            </w:r>
          </w:p>
        </w:tc>
        <w:tc>
          <w:tcPr>
            <w:tcW w:w="1039" w:type="dxa"/>
            <w:vAlign w:val="center"/>
          </w:tcPr>
          <w:p w14:paraId="41FE7E4B"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52</w:t>
            </w:r>
          </w:p>
        </w:tc>
        <w:tc>
          <w:tcPr>
            <w:tcW w:w="1551" w:type="dxa"/>
            <w:shd w:val="clear" w:color="auto" w:fill="auto"/>
            <w:noWrap/>
            <w:vAlign w:val="center"/>
            <w:hideMark/>
          </w:tcPr>
          <w:p w14:paraId="5B3FDF7B"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6.145.300,00</w:t>
            </w:r>
          </w:p>
        </w:tc>
        <w:tc>
          <w:tcPr>
            <w:tcW w:w="1560" w:type="dxa"/>
            <w:shd w:val="clear" w:color="auto" w:fill="auto"/>
            <w:noWrap/>
            <w:vAlign w:val="center"/>
            <w:hideMark/>
          </w:tcPr>
          <w:p w14:paraId="3C6D6287"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4.301.710,00</w:t>
            </w:r>
          </w:p>
        </w:tc>
        <w:tc>
          <w:tcPr>
            <w:tcW w:w="1275" w:type="dxa"/>
            <w:shd w:val="clear" w:color="auto" w:fill="auto"/>
            <w:noWrap/>
            <w:vAlign w:val="center"/>
            <w:hideMark/>
          </w:tcPr>
          <w:p w14:paraId="4B699DA6"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10,09%</w:t>
            </w:r>
          </w:p>
        </w:tc>
      </w:tr>
      <w:tr w:rsidR="00545FA4" w:rsidRPr="001C27A1" w14:paraId="597DE7B4" w14:textId="77777777" w:rsidTr="00545FA4">
        <w:trPr>
          <w:trHeight w:val="315"/>
        </w:trPr>
        <w:tc>
          <w:tcPr>
            <w:tcW w:w="3364" w:type="dxa"/>
            <w:shd w:val="clear" w:color="auto" w:fill="auto"/>
            <w:noWrap/>
            <w:vAlign w:val="center"/>
            <w:hideMark/>
          </w:tcPr>
          <w:p w14:paraId="63469377"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Nova banka a.d. Banja Luka</w:t>
            </w:r>
          </w:p>
        </w:tc>
        <w:tc>
          <w:tcPr>
            <w:tcW w:w="1039" w:type="dxa"/>
            <w:vAlign w:val="center"/>
          </w:tcPr>
          <w:p w14:paraId="25942761"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38</w:t>
            </w:r>
          </w:p>
        </w:tc>
        <w:tc>
          <w:tcPr>
            <w:tcW w:w="1551" w:type="dxa"/>
            <w:shd w:val="clear" w:color="auto" w:fill="auto"/>
            <w:noWrap/>
            <w:vAlign w:val="center"/>
            <w:hideMark/>
          </w:tcPr>
          <w:p w14:paraId="3FB78456"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4.398.000,00</w:t>
            </w:r>
          </w:p>
        </w:tc>
        <w:tc>
          <w:tcPr>
            <w:tcW w:w="1560" w:type="dxa"/>
            <w:shd w:val="clear" w:color="auto" w:fill="auto"/>
            <w:noWrap/>
            <w:vAlign w:val="center"/>
            <w:hideMark/>
          </w:tcPr>
          <w:p w14:paraId="7E5CB7BF"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3.078.600,00</w:t>
            </w:r>
          </w:p>
        </w:tc>
        <w:tc>
          <w:tcPr>
            <w:tcW w:w="1275" w:type="dxa"/>
            <w:shd w:val="clear" w:color="auto" w:fill="auto"/>
            <w:noWrap/>
            <w:vAlign w:val="center"/>
            <w:hideMark/>
          </w:tcPr>
          <w:p w14:paraId="460218CA"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7,22%</w:t>
            </w:r>
          </w:p>
        </w:tc>
      </w:tr>
      <w:tr w:rsidR="00545FA4" w:rsidRPr="001C27A1" w14:paraId="2A6D7ECB" w14:textId="77777777" w:rsidTr="00545FA4">
        <w:trPr>
          <w:trHeight w:val="315"/>
        </w:trPr>
        <w:tc>
          <w:tcPr>
            <w:tcW w:w="3364" w:type="dxa"/>
            <w:shd w:val="clear" w:color="auto" w:fill="auto"/>
            <w:noWrap/>
            <w:vAlign w:val="center"/>
            <w:hideMark/>
          </w:tcPr>
          <w:p w14:paraId="4E2EDAED"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Raiffeisen bank d.d. Sarajevo</w:t>
            </w:r>
          </w:p>
        </w:tc>
        <w:tc>
          <w:tcPr>
            <w:tcW w:w="1039" w:type="dxa"/>
            <w:vAlign w:val="center"/>
          </w:tcPr>
          <w:p w14:paraId="76919D92"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11</w:t>
            </w:r>
          </w:p>
        </w:tc>
        <w:tc>
          <w:tcPr>
            <w:tcW w:w="1551" w:type="dxa"/>
            <w:shd w:val="clear" w:color="auto" w:fill="auto"/>
            <w:noWrap/>
            <w:vAlign w:val="center"/>
            <w:hideMark/>
          </w:tcPr>
          <w:p w14:paraId="4B56E452"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1.560.000,00</w:t>
            </w:r>
          </w:p>
        </w:tc>
        <w:tc>
          <w:tcPr>
            <w:tcW w:w="1560" w:type="dxa"/>
            <w:shd w:val="clear" w:color="auto" w:fill="auto"/>
            <w:noWrap/>
            <w:vAlign w:val="center"/>
            <w:hideMark/>
          </w:tcPr>
          <w:p w14:paraId="5F820869"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1.092.000,00</w:t>
            </w:r>
          </w:p>
        </w:tc>
        <w:tc>
          <w:tcPr>
            <w:tcW w:w="1275" w:type="dxa"/>
            <w:shd w:val="clear" w:color="auto" w:fill="auto"/>
            <w:noWrap/>
            <w:vAlign w:val="center"/>
            <w:hideMark/>
          </w:tcPr>
          <w:p w14:paraId="1A899032"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2,56%</w:t>
            </w:r>
          </w:p>
        </w:tc>
      </w:tr>
      <w:tr w:rsidR="00545FA4" w:rsidRPr="001C27A1" w14:paraId="0EF96B65" w14:textId="77777777" w:rsidTr="00545FA4">
        <w:trPr>
          <w:trHeight w:val="315"/>
        </w:trPr>
        <w:tc>
          <w:tcPr>
            <w:tcW w:w="3364" w:type="dxa"/>
            <w:shd w:val="clear" w:color="auto" w:fill="auto"/>
            <w:noWrap/>
            <w:vAlign w:val="center"/>
            <w:hideMark/>
          </w:tcPr>
          <w:p w14:paraId="45A6072A"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Atos banka a.d. Banja Luka</w:t>
            </w:r>
          </w:p>
        </w:tc>
        <w:tc>
          <w:tcPr>
            <w:tcW w:w="1039" w:type="dxa"/>
            <w:vAlign w:val="center"/>
          </w:tcPr>
          <w:p w14:paraId="0D6DB2CC"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24</w:t>
            </w:r>
          </w:p>
        </w:tc>
        <w:tc>
          <w:tcPr>
            <w:tcW w:w="1551" w:type="dxa"/>
            <w:shd w:val="clear" w:color="auto" w:fill="auto"/>
            <w:noWrap/>
            <w:vAlign w:val="center"/>
            <w:hideMark/>
          </w:tcPr>
          <w:p w14:paraId="4470FC19"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1.060.628,00</w:t>
            </w:r>
          </w:p>
        </w:tc>
        <w:tc>
          <w:tcPr>
            <w:tcW w:w="1560" w:type="dxa"/>
            <w:shd w:val="clear" w:color="auto" w:fill="auto"/>
            <w:noWrap/>
            <w:vAlign w:val="center"/>
            <w:hideMark/>
          </w:tcPr>
          <w:p w14:paraId="3D842991"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742.439,60</w:t>
            </w:r>
          </w:p>
        </w:tc>
        <w:tc>
          <w:tcPr>
            <w:tcW w:w="1275" w:type="dxa"/>
            <w:shd w:val="clear" w:color="auto" w:fill="auto"/>
            <w:noWrap/>
            <w:vAlign w:val="center"/>
            <w:hideMark/>
          </w:tcPr>
          <w:p w14:paraId="123B7B64"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1,74%</w:t>
            </w:r>
          </w:p>
        </w:tc>
      </w:tr>
      <w:tr w:rsidR="00545FA4" w:rsidRPr="001C27A1" w14:paraId="6DD8C44F" w14:textId="77777777" w:rsidTr="00545FA4">
        <w:trPr>
          <w:trHeight w:val="315"/>
        </w:trPr>
        <w:tc>
          <w:tcPr>
            <w:tcW w:w="3364" w:type="dxa"/>
            <w:shd w:val="clear" w:color="auto" w:fill="auto"/>
            <w:noWrap/>
            <w:vAlign w:val="center"/>
            <w:hideMark/>
          </w:tcPr>
          <w:p w14:paraId="1199C0C9" w14:textId="77777777" w:rsidR="00545FA4" w:rsidRPr="002B5C72" w:rsidRDefault="00545FA4" w:rsidP="00545FA4">
            <w:pPr>
              <w:jc w:val="left"/>
              <w:rPr>
                <w:rFonts w:asciiTheme="minorHAnsi" w:hAnsiTheme="minorHAnsi"/>
                <w:caps/>
                <w:sz w:val="18"/>
                <w:szCs w:val="18"/>
              </w:rPr>
            </w:pPr>
            <w:r w:rsidRPr="002B5C72">
              <w:rPr>
                <w:rFonts w:asciiTheme="minorHAnsi" w:hAnsiTheme="minorHAnsi"/>
                <w:sz w:val="18"/>
                <w:szCs w:val="18"/>
              </w:rPr>
              <w:t>Banka poštanska štedionica a.d. Banja Luka</w:t>
            </w:r>
          </w:p>
        </w:tc>
        <w:tc>
          <w:tcPr>
            <w:tcW w:w="1039" w:type="dxa"/>
            <w:vAlign w:val="center"/>
          </w:tcPr>
          <w:p w14:paraId="5285903F"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11</w:t>
            </w:r>
          </w:p>
        </w:tc>
        <w:tc>
          <w:tcPr>
            <w:tcW w:w="1551" w:type="dxa"/>
            <w:shd w:val="clear" w:color="auto" w:fill="auto"/>
            <w:noWrap/>
            <w:vAlign w:val="center"/>
            <w:hideMark/>
          </w:tcPr>
          <w:p w14:paraId="68FBA7B0"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588.000,00</w:t>
            </w:r>
          </w:p>
        </w:tc>
        <w:tc>
          <w:tcPr>
            <w:tcW w:w="1560" w:type="dxa"/>
            <w:shd w:val="clear" w:color="auto" w:fill="auto"/>
            <w:noWrap/>
            <w:vAlign w:val="center"/>
            <w:hideMark/>
          </w:tcPr>
          <w:p w14:paraId="195CECDF"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411.600,00</w:t>
            </w:r>
          </w:p>
        </w:tc>
        <w:tc>
          <w:tcPr>
            <w:tcW w:w="1275" w:type="dxa"/>
            <w:shd w:val="clear" w:color="auto" w:fill="auto"/>
            <w:noWrap/>
            <w:vAlign w:val="center"/>
            <w:hideMark/>
          </w:tcPr>
          <w:p w14:paraId="1CF7EA00"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0,97%</w:t>
            </w:r>
          </w:p>
        </w:tc>
      </w:tr>
      <w:tr w:rsidR="00545FA4" w:rsidRPr="001C27A1" w14:paraId="2BDE7FBE" w14:textId="77777777" w:rsidTr="00545FA4">
        <w:trPr>
          <w:trHeight w:val="315"/>
        </w:trPr>
        <w:tc>
          <w:tcPr>
            <w:tcW w:w="3364" w:type="dxa"/>
            <w:shd w:val="clear" w:color="auto" w:fill="auto"/>
            <w:noWrap/>
            <w:vAlign w:val="center"/>
            <w:hideMark/>
          </w:tcPr>
          <w:p w14:paraId="2FF00163" w14:textId="77777777" w:rsidR="00545FA4" w:rsidRPr="002B5C72" w:rsidRDefault="002B5C72" w:rsidP="00545FA4">
            <w:pPr>
              <w:jc w:val="left"/>
              <w:rPr>
                <w:rFonts w:asciiTheme="minorHAnsi" w:hAnsiTheme="minorHAnsi"/>
                <w:caps/>
                <w:sz w:val="18"/>
                <w:szCs w:val="18"/>
              </w:rPr>
            </w:pPr>
            <w:r>
              <w:rPr>
                <w:rFonts w:asciiTheme="minorHAnsi" w:hAnsiTheme="minorHAnsi"/>
                <w:sz w:val="18"/>
                <w:szCs w:val="18"/>
              </w:rPr>
              <w:t>NLB banka a.d. Banja Luka</w:t>
            </w:r>
          </w:p>
        </w:tc>
        <w:tc>
          <w:tcPr>
            <w:tcW w:w="1039" w:type="dxa"/>
            <w:vAlign w:val="center"/>
          </w:tcPr>
          <w:p w14:paraId="25720204"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5</w:t>
            </w:r>
          </w:p>
        </w:tc>
        <w:tc>
          <w:tcPr>
            <w:tcW w:w="1551" w:type="dxa"/>
            <w:shd w:val="clear" w:color="auto" w:fill="auto"/>
            <w:noWrap/>
            <w:vAlign w:val="center"/>
            <w:hideMark/>
          </w:tcPr>
          <w:p w14:paraId="21C41F22"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340.000,00</w:t>
            </w:r>
          </w:p>
        </w:tc>
        <w:tc>
          <w:tcPr>
            <w:tcW w:w="1560" w:type="dxa"/>
            <w:shd w:val="clear" w:color="auto" w:fill="auto"/>
            <w:noWrap/>
            <w:vAlign w:val="center"/>
            <w:hideMark/>
          </w:tcPr>
          <w:p w14:paraId="7BEB205B"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238.000,00</w:t>
            </w:r>
          </w:p>
        </w:tc>
        <w:tc>
          <w:tcPr>
            <w:tcW w:w="1275" w:type="dxa"/>
            <w:shd w:val="clear" w:color="auto" w:fill="auto"/>
            <w:noWrap/>
            <w:vAlign w:val="center"/>
            <w:hideMark/>
          </w:tcPr>
          <w:p w14:paraId="06454E6E"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0,56%</w:t>
            </w:r>
          </w:p>
        </w:tc>
      </w:tr>
      <w:tr w:rsidR="00545FA4" w:rsidRPr="001C27A1" w14:paraId="4A000472" w14:textId="77777777" w:rsidTr="00545FA4">
        <w:trPr>
          <w:trHeight w:val="315"/>
        </w:trPr>
        <w:tc>
          <w:tcPr>
            <w:tcW w:w="3364" w:type="dxa"/>
            <w:shd w:val="clear" w:color="auto" w:fill="auto"/>
            <w:noWrap/>
            <w:vAlign w:val="center"/>
            <w:hideMark/>
          </w:tcPr>
          <w:p w14:paraId="11D77531" w14:textId="77777777" w:rsidR="00545FA4" w:rsidRPr="002B5C72" w:rsidRDefault="002B5C72" w:rsidP="002B5C72">
            <w:pPr>
              <w:jc w:val="left"/>
              <w:rPr>
                <w:rFonts w:asciiTheme="minorHAnsi" w:hAnsiTheme="minorHAnsi"/>
                <w:caps/>
                <w:sz w:val="18"/>
                <w:szCs w:val="18"/>
              </w:rPr>
            </w:pPr>
            <w:r>
              <w:rPr>
                <w:rFonts w:asciiTheme="minorHAnsi" w:hAnsiTheme="minorHAnsi"/>
                <w:sz w:val="18"/>
                <w:szCs w:val="18"/>
              </w:rPr>
              <w:t>MKD Mikrofin d.o.o. Banja Luka</w:t>
            </w:r>
          </w:p>
        </w:tc>
        <w:tc>
          <w:tcPr>
            <w:tcW w:w="1039" w:type="dxa"/>
            <w:vAlign w:val="center"/>
          </w:tcPr>
          <w:p w14:paraId="11B79220" w14:textId="77777777" w:rsidR="00545FA4" w:rsidRPr="002B5C72" w:rsidRDefault="00545FA4" w:rsidP="00545FA4">
            <w:pPr>
              <w:jc w:val="center"/>
              <w:rPr>
                <w:rFonts w:asciiTheme="minorHAnsi" w:hAnsiTheme="minorHAnsi"/>
                <w:sz w:val="18"/>
                <w:szCs w:val="18"/>
                <w:lang w:val="sr-Cyrl-RS"/>
              </w:rPr>
            </w:pPr>
            <w:r w:rsidRPr="002B5C72">
              <w:rPr>
                <w:rFonts w:asciiTheme="minorHAnsi" w:hAnsiTheme="minorHAnsi"/>
                <w:sz w:val="18"/>
                <w:szCs w:val="18"/>
              </w:rPr>
              <w:t>2</w:t>
            </w:r>
          </w:p>
        </w:tc>
        <w:tc>
          <w:tcPr>
            <w:tcW w:w="1551" w:type="dxa"/>
            <w:shd w:val="clear" w:color="auto" w:fill="auto"/>
            <w:noWrap/>
            <w:vAlign w:val="center"/>
            <w:hideMark/>
          </w:tcPr>
          <w:p w14:paraId="4A6D8761"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15.001,00</w:t>
            </w:r>
          </w:p>
        </w:tc>
        <w:tc>
          <w:tcPr>
            <w:tcW w:w="1560" w:type="dxa"/>
            <w:shd w:val="clear" w:color="auto" w:fill="auto"/>
            <w:noWrap/>
            <w:vAlign w:val="center"/>
            <w:hideMark/>
          </w:tcPr>
          <w:p w14:paraId="66EF5F17"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10.500,70</w:t>
            </w:r>
          </w:p>
        </w:tc>
        <w:tc>
          <w:tcPr>
            <w:tcW w:w="1275" w:type="dxa"/>
            <w:shd w:val="clear" w:color="auto" w:fill="auto"/>
            <w:noWrap/>
            <w:vAlign w:val="center"/>
            <w:hideMark/>
          </w:tcPr>
          <w:p w14:paraId="081FE0CE" w14:textId="77777777"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0,02%</w:t>
            </w:r>
          </w:p>
        </w:tc>
      </w:tr>
      <w:tr w:rsidR="00545FA4" w:rsidRPr="001C27A1" w14:paraId="49731188" w14:textId="77777777" w:rsidTr="002B5C72">
        <w:trPr>
          <w:trHeight w:val="315"/>
        </w:trPr>
        <w:tc>
          <w:tcPr>
            <w:tcW w:w="3364" w:type="dxa"/>
            <w:shd w:val="clear" w:color="auto" w:fill="8DB3E2" w:themeFill="text2" w:themeFillTint="66"/>
            <w:noWrap/>
            <w:vAlign w:val="center"/>
            <w:hideMark/>
          </w:tcPr>
          <w:p w14:paraId="7DB7596F" w14:textId="5F017194" w:rsidR="00545FA4" w:rsidRPr="002B5C72" w:rsidRDefault="00467FEE" w:rsidP="00545FA4">
            <w:pPr>
              <w:jc w:val="left"/>
              <w:rPr>
                <w:rFonts w:asciiTheme="minorHAnsi" w:hAnsiTheme="minorHAnsi"/>
                <w:b/>
                <w:bCs/>
                <w:sz w:val="18"/>
                <w:szCs w:val="18"/>
              </w:rPr>
            </w:pPr>
            <w:r>
              <w:rPr>
                <w:rFonts w:asciiTheme="minorHAnsi" w:hAnsiTheme="minorHAnsi"/>
                <w:b/>
                <w:bCs/>
                <w:sz w:val="18"/>
                <w:szCs w:val="18"/>
              </w:rPr>
              <w:t>UKUPNO</w:t>
            </w:r>
          </w:p>
        </w:tc>
        <w:tc>
          <w:tcPr>
            <w:tcW w:w="1039" w:type="dxa"/>
            <w:shd w:val="clear" w:color="auto" w:fill="8DB3E2" w:themeFill="text2" w:themeFillTint="66"/>
            <w:vAlign w:val="center"/>
          </w:tcPr>
          <w:p w14:paraId="7DEEF739" w14:textId="77777777" w:rsidR="00545FA4" w:rsidRPr="002B5C72" w:rsidRDefault="00545FA4" w:rsidP="00545FA4">
            <w:pPr>
              <w:jc w:val="center"/>
              <w:rPr>
                <w:rFonts w:asciiTheme="minorHAnsi" w:hAnsiTheme="minorHAnsi"/>
                <w:b/>
                <w:bCs/>
                <w:sz w:val="18"/>
                <w:szCs w:val="18"/>
                <w:lang w:val="sr-Cyrl-RS"/>
              </w:rPr>
            </w:pPr>
            <w:r w:rsidRPr="002B5C72">
              <w:rPr>
                <w:rFonts w:asciiTheme="minorHAnsi" w:hAnsiTheme="minorHAnsi"/>
                <w:b/>
                <w:bCs/>
                <w:sz w:val="18"/>
                <w:szCs w:val="18"/>
              </w:rPr>
              <w:t>416</w:t>
            </w:r>
          </w:p>
        </w:tc>
        <w:tc>
          <w:tcPr>
            <w:tcW w:w="1551" w:type="dxa"/>
            <w:shd w:val="clear" w:color="auto" w:fill="8DB3E2" w:themeFill="text2" w:themeFillTint="66"/>
            <w:noWrap/>
            <w:vAlign w:val="center"/>
            <w:hideMark/>
          </w:tcPr>
          <w:p w14:paraId="538F484E"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60.910.629,00</w:t>
            </w:r>
          </w:p>
        </w:tc>
        <w:tc>
          <w:tcPr>
            <w:tcW w:w="1560" w:type="dxa"/>
            <w:shd w:val="clear" w:color="auto" w:fill="8DB3E2" w:themeFill="text2" w:themeFillTint="66"/>
            <w:noWrap/>
            <w:vAlign w:val="center"/>
            <w:hideMark/>
          </w:tcPr>
          <w:p w14:paraId="3AD5C941"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42.637.440,30</w:t>
            </w:r>
          </w:p>
        </w:tc>
        <w:tc>
          <w:tcPr>
            <w:tcW w:w="1275" w:type="dxa"/>
            <w:shd w:val="clear" w:color="auto" w:fill="8DB3E2" w:themeFill="text2" w:themeFillTint="66"/>
            <w:noWrap/>
            <w:vAlign w:val="center"/>
            <w:hideMark/>
          </w:tcPr>
          <w:p w14:paraId="36969230" w14:textId="77777777"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100,00%</w:t>
            </w:r>
          </w:p>
        </w:tc>
      </w:tr>
    </w:tbl>
    <w:p w14:paraId="5E745CEE" w14:textId="77777777" w:rsidR="00545FA4" w:rsidRPr="001C27A1" w:rsidRDefault="00545FA4" w:rsidP="00545FA4">
      <w:pPr>
        <w:spacing w:line="276" w:lineRule="auto"/>
        <w:rPr>
          <w:rFonts w:asciiTheme="minorHAnsi" w:eastAsiaTheme="minorHAnsi" w:hAnsiTheme="minorHAnsi"/>
          <w:color w:val="auto"/>
          <w:sz w:val="20"/>
          <w:szCs w:val="20"/>
          <w:lang w:eastAsia="en-US"/>
        </w:rPr>
      </w:pPr>
    </w:p>
    <w:p w14:paraId="311DFE17" w14:textId="78964A98" w:rsidR="00545FA4" w:rsidRPr="001C27A1" w:rsidRDefault="00545FA4" w:rsidP="00545FA4">
      <w:pPr>
        <w:spacing w:line="276" w:lineRule="auto"/>
        <w:rPr>
          <w:rFonts w:asciiTheme="minorHAnsi" w:hAnsiTheme="minorHAnsi"/>
          <w:noProof/>
          <w:sz w:val="20"/>
          <w:szCs w:val="20"/>
          <w:lang w:val="sr-Cyrl-RS"/>
        </w:rPr>
      </w:pPr>
      <w:r w:rsidRPr="001C27A1">
        <w:rPr>
          <w:rFonts w:asciiTheme="minorHAnsi" w:hAnsiTheme="minorHAnsi"/>
          <w:noProof/>
          <w:sz w:val="20"/>
          <w:szCs w:val="20"/>
        </w:rPr>
        <w:t xml:space="preserve">U ukupno plasiranim kreditima dominantno učešće ima Procredit banka, koja je od početka Programa  </w:t>
      </w:r>
      <w:r w:rsidRPr="001C27A1">
        <w:rPr>
          <w:rFonts w:asciiTheme="minorHAnsi" w:hAnsiTheme="minorHAnsi"/>
          <w:sz w:val="20"/>
          <w:szCs w:val="20"/>
        </w:rPr>
        <w:t xml:space="preserve"> COVID-19  </w:t>
      </w:r>
      <w:r w:rsidRPr="001C27A1">
        <w:rPr>
          <w:rFonts w:asciiTheme="minorHAnsi" w:hAnsiTheme="minorHAnsi"/>
          <w:noProof/>
          <w:sz w:val="20"/>
          <w:szCs w:val="20"/>
        </w:rPr>
        <w:t xml:space="preserve"> plasirala 188 kredita u iznosu od 34.171.000,00 KM, što je više od polovine ukupno plasiranih sredstava (56,10%). MF banka je na drugom mjestu sa ukupno 85 plasiranih kredita u iznosu od 12.632.700,00 KM, što je 20,74% plasiranih sredstava. Garancije koje pokrivaju plasmane Procredit banke iznose 23.919.700,00 KM,  dok su plasmani MF banke garantovani u ukupnom iznosu od 8.842.890,00 KM. Dvije </w:t>
      </w:r>
      <w:r w:rsidRPr="001C27A1">
        <w:rPr>
          <w:rFonts w:asciiTheme="minorHAnsi" w:hAnsiTheme="minorHAnsi"/>
          <w:noProof/>
          <w:sz w:val="20"/>
          <w:szCs w:val="20"/>
        </w:rPr>
        <w:lastRenderedPageBreak/>
        <w:t xml:space="preserve">navedene banke su plasirale nešto više od tri četvrtine svih sredstava u okviru  </w:t>
      </w:r>
      <w:r w:rsidRPr="001C27A1">
        <w:rPr>
          <w:rFonts w:asciiTheme="minorHAnsi" w:hAnsiTheme="minorHAnsi"/>
          <w:sz w:val="20"/>
          <w:szCs w:val="20"/>
        </w:rPr>
        <w:t xml:space="preserve"> Programa </w:t>
      </w:r>
      <w:r w:rsidRPr="001C27A1">
        <w:rPr>
          <w:rFonts w:asciiTheme="minorHAnsi" w:hAnsiTheme="minorHAnsi"/>
          <w:noProof/>
          <w:sz w:val="20"/>
          <w:szCs w:val="20"/>
        </w:rPr>
        <w:t xml:space="preserve"> . Unicredit banka je na trećem mjestu, a plasirala je 52 kredita u iznosu od 6.145.300,00 KM (10,09% učešća). </w:t>
      </w:r>
    </w:p>
    <w:p w14:paraId="66A973D9"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0DCE2E37"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39CFBA6A" w14:textId="77777777" w:rsidR="00545FA4" w:rsidRPr="001C27A1" w:rsidRDefault="00545FA4" w:rsidP="00545FA4">
      <w:pPr>
        <w:spacing w:line="276" w:lineRule="auto"/>
        <w:rPr>
          <w:rFonts w:asciiTheme="minorHAnsi" w:eastAsiaTheme="minorHAnsi" w:hAnsiTheme="minorHAnsi"/>
          <w:color w:val="000000" w:themeColor="text1"/>
          <w:sz w:val="20"/>
          <w:szCs w:val="20"/>
          <w:lang w:val="sr-Cyrl-RS" w:eastAsia="en-US"/>
        </w:rPr>
      </w:pPr>
    </w:p>
    <w:p w14:paraId="712F4474" w14:textId="77777777" w:rsidR="00545FA4" w:rsidRPr="001C27A1" w:rsidRDefault="00545FA4" w:rsidP="00545FA4">
      <w:pPr>
        <w:spacing w:line="276" w:lineRule="auto"/>
        <w:rPr>
          <w:rFonts w:asciiTheme="minorHAnsi" w:eastAsiaTheme="minorHAnsi" w:hAnsiTheme="minorHAnsi"/>
          <w:color w:val="000000" w:themeColor="text1"/>
          <w:sz w:val="20"/>
          <w:szCs w:val="20"/>
          <w:lang w:val="sr-Cyrl-RS" w:eastAsia="en-US"/>
        </w:rPr>
      </w:pPr>
    </w:p>
    <w:p w14:paraId="3D620F13"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p>
    <w:p w14:paraId="75E92C55" w14:textId="77777777" w:rsidR="00545FA4" w:rsidRPr="001C27A1" w:rsidRDefault="00545FA4" w:rsidP="002B5C72">
      <w:pPr>
        <w:spacing w:line="276" w:lineRule="auto"/>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eastAsia="en-US"/>
        </w:rPr>
        <w:t>Pregled garancija Garantnog programa COVID-19 po statusu na dan 31.12.2023. godine</w:t>
      </w:r>
    </w:p>
    <w:p w14:paraId="0D56B051" w14:textId="77777777" w:rsidR="00545FA4" w:rsidRPr="001C27A1" w:rsidRDefault="00545FA4" w:rsidP="00545FA4">
      <w:pPr>
        <w:spacing w:line="276" w:lineRule="auto"/>
        <w:jc w:val="center"/>
        <w:rPr>
          <w:rFonts w:asciiTheme="minorHAnsi" w:eastAsiaTheme="minorHAnsi" w:hAnsiTheme="minorHAnsi"/>
          <w:color w:val="auto"/>
          <w:sz w:val="20"/>
          <w:szCs w:val="20"/>
          <w:lang w:val="sr-Cyrl-RS" w:eastAsia="en-US"/>
        </w:rPr>
      </w:pPr>
    </w:p>
    <w:p w14:paraId="51B6DB95" w14:textId="77777777" w:rsidR="00545FA4" w:rsidRPr="001C27A1" w:rsidRDefault="00545FA4" w:rsidP="00545FA4">
      <w:pPr>
        <w:spacing w:line="276" w:lineRule="auto"/>
        <w:jc w:val="right"/>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eastAsia="en-US"/>
        </w:rPr>
        <w:t>Tabela 20</w:t>
      </w:r>
    </w:p>
    <w:tbl>
      <w:tblPr>
        <w:tblW w:w="8789" w:type="dxa"/>
        <w:tblInd w:w="108" w:type="dxa"/>
        <w:tblLook w:val="04A0" w:firstRow="1" w:lastRow="0" w:firstColumn="1" w:lastColumn="0" w:noHBand="0" w:noVBand="1"/>
      </w:tblPr>
      <w:tblGrid>
        <w:gridCol w:w="1819"/>
        <w:gridCol w:w="709"/>
        <w:gridCol w:w="2339"/>
        <w:gridCol w:w="2221"/>
        <w:gridCol w:w="1701"/>
      </w:tblGrid>
      <w:tr w:rsidR="002B5C72" w:rsidRPr="001C27A1" w14:paraId="47F69FB6" w14:textId="77777777" w:rsidTr="002B5C72">
        <w:trPr>
          <w:trHeight w:val="720"/>
        </w:trPr>
        <w:tc>
          <w:tcPr>
            <w:tcW w:w="181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F12B9E5"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Status</w:t>
            </w:r>
          </w:p>
        </w:tc>
        <w:tc>
          <w:tcPr>
            <w:tcW w:w="709"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3C726D12"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Broj</w:t>
            </w:r>
          </w:p>
        </w:tc>
        <w:tc>
          <w:tcPr>
            <w:tcW w:w="2339"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0CCF0E27"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Iznos kredita</w:t>
            </w:r>
          </w:p>
        </w:tc>
        <w:tc>
          <w:tcPr>
            <w:tcW w:w="222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7E5EB3FF"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Nominalni iznos garancije</w:t>
            </w:r>
          </w:p>
        </w:tc>
        <w:tc>
          <w:tcPr>
            <w:tcW w:w="170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122C48EE" w14:textId="77777777" w:rsidR="002B5C72" w:rsidRPr="002B5C72" w:rsidRDefault="002B5C72" w:rsidP="00545FA4">
            <w:pPr>
              <w:spacing w:line="276" w:lineRule="auto"/>
              <w:jc w:val="center"/>
              <w:rPr>
                <w:rFonts w:asciiTheme="minorHAnsi" w:eastAsiaTheme="minorHAnsi" w:hAnsiTheme="minorHAnsi"/>
                <w:b/>
                <w:color w:val="auto"/>
                <w:sz w:val="18"/>
                <w:szCs w:val="18"/>
                <w:lang w:eastAsia="en-US"/>
              </w:rPr>
            </w:pPr>
            <w:r w:rsidRPr="002B5C72">
              <w:rPr>
                <w:rFonts w:asciiTheme="minorHAnsi" w:eastAsiaTheme="minorHAnsi" w:hAnsiTheme="minorHAnsi"/>
                <w:b/>
                <w:color w:val="auto"/>
                <w:sz w:val="18"/>
                <w:szCs w:val="18"/>
                <w:lang w:eastAsia="en-US"/>
              </w:rPr>
              <w:t>Stanje garancije</w:t>
            </w:r>
          </w:p>
        </w:tc>
      </w:tr>
      <w:tr w:rsidR="002B5C72" w:rsidRPr="001C27A1" w14:paraId="394B51D1" w14:textId="77777777" w:rsidTr="002B5C72">
        <w:trPr>
          <w:trHeight w:val="395"/>
        </w:trPr>
        <w:tc>
          <w:tcPr>
            <w:tcW w:w="1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9ED5F" w14:textId="77777777" w:rsidR="002B5C72" w:rsidRPr="002B5C72" w:rsidRDefault="002B5C72" w:rsidP="00545FA4">
            <w:pPr>
              <w:spacing w:line="276" w:lineRule="auto"/>
              <w:jc w:val="lef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Aktivno</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3F430B4" w14:textId="77777777" w:rsidR="002B5C72" w:rsidRPr="002B5C72" w:rsidRDefault="002B5C72" w:rsidP="00545FA4">
            <w:pPr>
              <w:spacing w:line="276" w:lineRule="auto"/>
              <w:jc w:val="center"/>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rPr>
              <w:t>270</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69FD1F09"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42.049.628,00</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2E9C9E92" w14:textId="77777777" w:rsidR="002B5C72" w:rsidRPr="002B5C72" w:rsidRDefault="002B5C72" w:rsidP="00545FA4">
            <w:pPr>
              <w:spacing w:line="276" w:lineRule="auto"/>
              <w:jc w:val="right"/>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eastAsia="en-US"/>
              </w:rPr>
              <w:t>29.434.739,60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97C1C02"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16.120.969,21</w:t>
            </w:r>
          </w:p>
        </w:tc>
      </w:tr>
      <w:tr w:rsidR="002B5C72" w:rsidRPr="001C27A1" w14:paraId="19C966DD" w14:textId="77777777" w:rsidTr="002B5C72">
        <w:trPr>
          <w:trHeight w:val="264"/>
        </w:trPr>
        <w:tc>
          <w:tcPr>
            <w:tcW w:w="1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E97A5" w14:textId="2E7D46D5" w:rsidR="002B5C72" w:rsidRPr="002B5C72" w:rsidRDefault="00DF60FC" w:rsidP="00545FA4">
            <w:pPr>
              <w:spacing w:line="276" w:lineRule="auto"/>
              <w:jc w:val="left"/>
              <w:rPr>
                <w:rFonts w:asciiTheme="minorHAnsi" w:eastAsiaTheme="minorHAnsi" w:hAnsiTheme="minorHAnsi"/>
                <w:color w:val="auto"/>
                <w:sz w:val="18"/>
                <w:szCs w:val="18"/>
                <w:lang w:eastAsia="en-US"/>
              </w:rPr>
            </w:pPr>
            <w:r>
              <w:rPr>
                <w:rFonts w:asciiTheme="minorHAnsi" w:eastAsiaTheme="minorHAnsi" w:hAnsiTheme="minorHAnsi"/>
                <w:color w:val="auto"/>
                <w:sz w:val="18"/>
                <w:szCs w:val="18"/>
                <w:lang w:eastAsia="en-US"/>
              </w:rPr>
              <w:t>Van snage</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E5C4AD1" w14:textId="77777777" w:rsidR="002B5C72" w:rsidRPr="002B5C72" w:rsidRDefault="002B5C72" w:rsidP="00545FA4">
            <w:pPr>
              <w:spacing w:line="276" w:lineRule="auto"/>
              <w:jc w:val="center"/>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eastAsia="en-US"/>
              </w:rPr>
              <w:t>142</w:t>
            </w:r>
          </w:p>
        </w:tc>
        <w:tc>
          <w:tcPr>
            <w:tcW w:w="2339" w:type="dxa"/>
            <w:tcBorders>
              <w:top w:val="single" w:sz="4" w:space="0" w:color="auto"/>
              <w:left w:val="nil"/>
              <w:bottom w:val="single" w:sz="4" w:space="0" w:color="auto"/>
              <w:right w:val="single" w:sz="4" w:space="0" w:color="auto"/>
            </w:tcBorders>
            <w:shd w:val="clear" w:color="auto" w:fill="auto"/>
            <w:noWrap/>
            <w:vAlign w:val="bottom"/>
            <w:hideMark/>
          </w:tcPr>
          <w:p w14:paraId="05AEFE69" w14:textId="77777777" w:rsidR="002B5C72" w:rsidRPr="002B5C72" w:rsidRDefault="002B5C72" w:rsidP="00545FA4">
            <w:pPr>
              <w:spacing w:line="276" w:lineRule="auto"/>
              <w:jc w:val="right"/>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eastAsia="en-US"/>
              </w:rPr>
              <w:t>18.211.001,00</w:t>
            </w:r>
          </w:p>
        </w:tc>
        <w:tc>
          <w:tcPr>
            <w:tcW w:w="2221" w:type="dxa"/>
            <w:tcBorders>
              <w:top w:val="single" w:sz="4" w:space="0" w:color="auto"/>
              <w:left w:val="nil"/>
              <w:bottom w:val="single" w:sz="4" w:space="0" w:color="auto"/>
              <w:right w:val="single" w:sz="4" w:space="0" w:color="auto"/>
            </w:tcBorders>
            <w:shd w:val="clear" w:color="auto" w:fill="auto"/>
            <w:noWrap/>
            <w:vAlign w:val="center"/>
            <w:hideMark/>
          </w:tcPr>
          <w:p w14:paraId="2562A464" w14:textId="77777777" w:rsidR="002B5C72" w:rsidRPr="002B5C72" w:rsidRDefault="002B5C72" w:rsidP="00545FA4">
            <w:pPr>
              <w:spacing w:line="276" w:lineRule="auto"/>
              <w:jc w:val="right"/>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eastAsia="en-US"/>
              </w:rPr>
              <w:t>12.747.700,70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449442D"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0,00</w:t>
            </w:r>
          </w:p>
        </w:tc>
      </w:tr>
      <w:tr w:rsidR="002B5C72" w:rsidRPr="001C27A1" w14:paraId="3C2DAFEC" w14:textId="77777777" w:rsidTr="002B5C72">
        <w:trPr>
          <w:trHeight w:val="264"/>
        </w:trPr>
        <w:tc>
          <w:tcPr>
            <w:tcW w:w="1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BF111" w14:textId="77777777" w:rsidR="002B5C72" w:rsidRPr="002B5C72" w:rsidRDefault="002B5C72" w:rsidP="00545FA4">
            <w:pPr>
              <w:spacing w:line="276" w:lineRule="auto"/>
              <w:jc w:val="lef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Protestovano</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53DC0FA3" w14:textId="77777777" w:rsidR="002B5C72" w:rsidRPr="002B5C72" w:rsidRDefault="002B5C72" w:rsidP="00545FA4">
            <w:pPr>
              <w:spacing w:line="276" w:lineRule="auto"/>
              <w:jc w:val="center"/>
              <w:rPr>
                <w:rFonts w:asciiTheme="minorHAnsi" w:eastAsiaTheme="minorHAnsi" w:hAnsiTheme="minorHAnsi"/>
                <w:color w:val="auto"/>
                <w:sz w:val="18"/>
                <w:szCs w:val="18"/>
                <w:lang w:val="sr-Cyrl-RS" w:eastAsia="en-US"/>
              </w:rPr>
            </w:pPr>
            <w:r w:rsidRPr="002B5C72">
              <w:rPr>
                <w:rFonts w:asciiTheme="minorHAnsi" w:eastAsiaTheme="minorHAnsi" w:hAnsiTheme="minorHAnsi"/>
                <w:color w:val="auto"/>
                <w:sz w:val="18"/>
                <w:szCs w:val="18"/>
                <w:lang w:eastAsia="en-US"/>
              </w:rPr>
              <w:t>4</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3C50C0B9"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650.000,00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00FE5140"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455.000,00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77FC823" w14:textId="77777777" w:rsidR="002B5C72" w:rsidRPr="002B5C72" w:rsidRDefault="002B5C72" w:rsidP="00545FA4">
            <w:pPr>
              <w:spacing w:line="276" w:lineRule="auto"/>
              <w:jc w:val="right"/>
              <w:rPr>
                <w:rFonts w:asciiTheme="minorHAnsi" w:eastAsiaTheme="minorHAnsi" w:hAnsiTheme="minorHAnsi"/>
                <w:color w:val="auto"/>
                <w:sz w:val="18"/>
                <w:szCs w:val="18"/>
                <w:lang w:eastAsia="en-US"/>
              </w:rPr>
            </w:pPr>
            <w:r w:rsidRPr="002B5C72">
              <w:rPr>
                <w:rFonts w:asciiTheme="minorHAnsi" w:eastAsiaTheme="minorHAnsi" w:hAnsiTheme="minorHAnsi"/>
                <w:color w:val="auto"/>
                <w:sz w:val="18"/>
                <w:szCs w:val="18"/>
                <w:lang w:eastAsia="en-US"/>
              </w:rPr>
              <w:t>0,00</w:t>
            </w:r>
          </w:p>
        </w:tc>
      </w:tr>
      <w:tr w:rsidR="00545FA4" w:rsidRPr="001C27A1" w14:paraId="73A39082" w14:textId="77777777" w:rsidTr="002B5C72">
        <w:trPr>
          <w:trHeight w:val="264"/>
        </w:trPr>
        <w:tc>
          <w:tcPr>
            <w:tcW w:w="181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3FC2C16F" w14:textId="455EA15A" w:rsidR="00545FA4" w:rsidRPr="002B5C72" w:rsidRDefault="00DF60FC" w:rsidP="00545FA4">
            <w:pPr>
              <w:spacing w:line="276" w:lineRule="auto"/>
              <w:jc w:val="left"/>
              <w:rPr>
                <w:rFonts w:asciiTheme="minorHAnsi" w:eastAsiaTheme="minorHAnsi" w:hAnsiTheme="minorHAnsi"/>
                <w:b/>
                <w:bCs/>
                <w:color w:val="auto"/>
                <w:sz w:val="18"/>
                <w:szCs w:val="18"/>
                <w:lang w:eastAsia="en-US"/>
              </w:rPr>
            </w:pPr>
            <w:r>
              <w:rPr>
                <w:rFonts w:asciiTheme="minorHAnsi" w:eastAsiaTheme="minorHAnsi" w:hAnsiTheme="minorHAnsi"/>
                <w:b/>
                <w:bCs/>
                <w:color w:val="auto"/>
                <w:sz w:val="18"/>
                <w:szCs w:val="18"/>
                <w:lang w:eastAsia="en-US"/>
              </w:rPr>
              <w:t xml:space="preserve">Ukupno </w:t>
            </w:r>
          </w:p>
        </w:tc>
        <w:tc>
          <w:tcPr>
            <w:tcW w:w="70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2D838ADA" w14:textId="77777777" w:rsidR="00545FA4" w:rsidRPr="002B5C72" w:rsidRDefault="00545FA4" w:rsidP="00545FA4">
            <w:pPr>
              <w:spacing w:line="276" w:lineRule="auto"/>
              <w:jc w:val="center"/>
              <w:rPr>
                <w:rFonts w:asciiTheme="minorHAnsi" w:eastAsiaTheme="minorHAnsi" w:hAnsiTheme="minorHAnsi"/>
                <w:b/>
                <w:bCs/>
                <w:color w:val="auto"/>
                <w:sz w:val="18"/>
                <w:szCs w:val="18"/>
                <w:lang w:val="sr-Cyrl-RS" w:eastAsia="en-US"/>
              </w:rPr>
            </w:pPr>
            <w:r w:rsidRPr="002B5C72">
              <w:rPr>
                <w:rFonts w:asciiTheme="minorHAnsi" w:eastAsiaTheme="minorHAnsi" w:hAnsiTheme="minorHAnsi"/>
                <w:b/>
                <w:bCs/>
                <w:color w:val="auto"/>
                <w:sz w:val="18"/>
                <w:szCs w:val="18"/>
                <w:lang w:eastAsia="en-US"/>
              </w:rPr>
              <w:t>416</w:t>
            </w:r>
          </w:p>
        </w:tc>
        <w:tc>
          <w:tcPr>
            <w:tcW w:w="233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2A72AAA2" w14:textId="77777777" w:rsidR="00545FA4" w:rsidRPr="002B5C72" w:rsidRDefault="00545FA4" w:rsidP="00545FA4">
            <w:pPr>
              <w:spacing w:line="276" w:lineRule="auto"/>
              <w:jc w:val="right"/>
              <w:rPr>
                <w:rFonts w:asciiTheme="minorHAnsi" w:eastAsiaTheme="minorHAnsi" w:hAnsiTheme="minorHAnsi"/>
                <w:b/>
                <w:bCs/>
                <w:color w:val="auto"/>
                <w:sz w:val="18"/>
                <w:szCs w:val="18"/>
                <w:lang w:eastAsia="en-US"/>
              </w:rPr>
            </w:pPr>
            <w:r w:rsidRPr="002B5C72">
              <w:rPr>
                <w:rFonts w:asciiTheme="minorHAnsi" w:eastAsiaTheme="minorHAnsi" w:hAnsiTheme="minorHAnsi"/>
                <w:b/>
                <w:bCs/>
                <w:color w:val="auto"/>
                <w:sz w:val="18"/>
                <w:szCs w:val="18"/>
                <w:lang w:eastAsia="en-US"/>
              </w:rPr>
              <w:t>60.910.629,00</w:t>
            </w:r>
          </w:p>
        </w:tc>
        <w:tc>
          <w:tcPr>
            <w:tcW w:w="2221"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0C08CFBD" w14:textId="77777777" w:rsidR="00545FA4" w:rsidRPr="002B5C72" w:rsidRDefault="00545FA4" w:rsidP="00545FA4">
            <w:pPr>
              <w:spacing w:line="276" w:lineRule="auto"/>
              <w:jc w:val="right"/>
              <w:rPr>
                <w:rFonts w:asciiTheme="minorHAnsi" w:eastAsiaTheme="minorHAnsi" w:hAnsiTheme="minorHAnsi"/>
                <w:b/>
                <w:bCs/>
                <w:color w:val="auto"/>
                <w:sz w:val="18"/>
                <w:szCs w:val="18"/>
                <w:lang w:eastAsia="en-US"/>
              </w:rPr>
            </w:pPr>
            <w:r w:rsidRPr="002B5C72">
              <w:rPr>
                <w:rFonts w:asciiTheme="minorHAnsi" w:eastAsiaTheme="minorHAnsi" w:hAnsiTheme="minorHAnsi"/>
                <w:b/>
                <w:bCs/>
                <w:color w:val="auto"/>
                <w:sz w:val="18"/>
                <w:szCs w:val="18"/>
                <w:lang w:eastAsia="en-US"/>
              </w:rPr>
              <w:t>42.637.440,30</w:t>
            </w:r>
          </w:p>
        </w:tc>
        <w:tc>
          <w:tcPr>
            <w:tcW w:w="1701" w:type="dxa"/>
            <w:tcBorders>
              <w:top w:val="nil"/>
              <w:left w:val="nil"/>
              <w:bottom w:val="single" w:sz="4" w:space="0" w:color="auto"/>
              <w:right w:val="single" w:sz="4" w:space="0" w:color="auto"/>
            </w:tcBorders>
            <w:shd w:val="clear" w:color="auto" w:fill="8DB3E2" w:themeFill="text2" w:themeFillTint="66"/>
            <w:noWrap/>
            <w:vAlign w:val="bottom"/>
            <w:hideMark/>
          </w:tcPr>
          <w:p w14:paraId="491632B1" w14:textId="77777777" w:rsidR="00545FA4" w:rsidRPr="002B5C72" w:rsidRDefault="00545FA4" w:rsidP="00545FA4">
            <w:pPr>
              <w:spacing w:line="276" w:lineRule="auto"/>
              <w:jc w:val="right"/>
              <w:rPr>
                <w:rFonts w:asciiTheme="minorHAnsi" w:eastAsiaTheme="minorHAnsi" w:hAnsiTheme="minorHAnsi"/>
                <w:b/>
                <w:bCs/>
                <w:color w:val="auto"/>
                <w:sz w:val="18"/>
                <w:szCs w:val="18"/>
                <w:lang w:val="sr-Cyrl-RS" w:eastAsia="en-US"/>
              </w:rPr>
            </w:pPr>
            <w:r w:rsidRPr="002B5C72">
              <w:rPr>
                <w:rFonts w:asciiTheme="minorHAnsi" w:eastAsiaTheme="minorHAnsi" w:hAnsiTheme="minorHAnsi"/>
                <w:b/>
                <w:bCs/>
                <w:color w:val="auto"/>
                <w:sz w:val="18"/>
                <w:szCs w:val="18"/>
                <w:lang w:eastAsia="en-US"/>
              </w:rPr>
              <w:t>16.120.969,21</w:t>
            </w:r>
          </w:p>
        </w:tc>
      </w:tr>
    </w:tbl>
    <w:p w14:paraId="64EBADC1" w14:textId="77777777" w:rsidR="00545FA4" w:rsidRPr="001C27A1" w:rsidRDefault="00545FA4" w:rsidP="00545FA4">
      <w:pPr>
        <w:spacing w:line="276" w:lineRule="auto"/>
        <w:jc w:val="right"/>
        <w:rPr>
          <w:rFonts w:asciiTheme="minorHAnsi" w:eastAsiaTheme="minorHAnsi" w:hAnsiTheme="minorHAnsi"/>
          <w:color w:val="auto"/>
          <w:sz w:val="20"/>
          <w:szCs w:val="20"/>
          <w:lang w:val="sr-Cyrl-BA" w:eastAsia="en-US"/>
        </w:rPr>
      </w:pPr>
    </w:p>
    <w:p w14:paraId="4075BFEC" w14:textId="77777777" w:rsidR="00545FA4" w:rsidRPr="001C27A1" w:rsidRDefault="009C697E" w:rsidP="00545FA4">
      <w:pPr>
        <w:spacing w:line="276" w:lineRule="auto"/>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eastAsia="en-US"/>
        </w:rPr>
        <w:t>Do dana 31.12.2023. godine, van snage su stavljene ukupno 142 garancije odobrene u nominalnom iznosu od 12.747.700,70 KM. Tokom 2023. godine, van snage je stavljeno 79 garancija odobrenih u nominalnom iznosu od 6.663.299,30 KM. Protestovane su 4 garancije odobrene u nominalnom iznosu od 455.000,00 KM, gdje je plaćeni iznos 213.199,26 KM, što odgovara stanju garancija na dan protesta. Protestovane su i 4 garancije gdje je nakon formalne kontrole utvrđeno da nisu ispunjeni uslovi za plaćanje, te su ove garancije po automatizmu stavljene van snage.  Na dan 31.12.2023. godine, aktivno je 270 garancija koje su odobrene u nominalnom iznosu od 29.049.628,00 KM, čije stanje na ovaj dan iznosi 16.120.969,21 KM.</w:t>
      </w:r>
      <w:r w:rsidR="00545FA4" w:rsidRPr="001C27A1">
        <w:rPr>
          <w:rFonts w:asciiTheme="minorHAnsi" w:eastAsiaTheme="minorHAnsi" w:hAnsiTheme="minorHAnsi"/>
          <w:color w:val="auto"/>
          <w:sz w:val="20"/>
          <w:szCs w:val="20"/>
          <w:lang w:eastAsia="en-US"/>
        </w:rPr>
        <w:tab/>
      </w:r>
      <w:r w:rsidR="00545FA4" w:rsidRPr="001C27A1">
        <w:rPr>
          <w:rFonts w:asciiTheme="minorHAnsi" w:eastAsiaTheme="minorHAnsi" w:hAnsiTheme="minorHAnsi"/>
          <w:color w:val="auto"/>
          <w:sz w:val="20"/>
          <w:szCs w:val="20"/>
          <w:lang w:eastAsia="en-US"/>
        </w:rPr>
        <w:tab/>
      </w:r>
      <w:r w:rsidR="00545FA4" w:rsidRPr="001C27A1">
        <w:rPr>
          <w:rFonts w:asciiTheme="minorHAnsi" w:eastAsiaTheme="minorHAnsi" w:hAnsiTheme="minorHAnsi"/>
          <w:color w:val="auto"/>
          <w:sz w:val="20"/>
          <w:szCs w:val="20"/>
          <w:lang w:eastAsia="en-US"/>
        </w:rPr>
        <w:tab/>
      </w:r>
      <w:r w:rsidR="00545FA4" w:rsidRPr="001C27A1">
        <w:rPr>
          <w:rFonts w:asciiTheme="minorHAnsi" w:eastAsiaTheme="minorHAnsi" w:hAnsiTheme="minorHAnsi"/>
          <w:color w:val="auto"/>
          <w:sz w:val="20"/>
          <w:szCs w:val="20"/>
          <w:lang w:eastAsia="en-US"/>
        </w:rPr>
        <w:tab/>
      </w:r>
      <w:r w:rsidR="00545FA4" w:rsidRPr="001C27A1">
        <w:rPr>
          <w:rFonts w:asciiTheme="minorHAnsi" w:eastAsiaTheme="minorHAnsi" w:hAnsiTheme="minorHAnsi"/>
          <w:color w:val="auto"/>
          <w:sz w:val="20"/>
          <w:szCs w:val="20"/>
          <w:lang w:eastAsia="en-US"/>
        </w:rPr>
        <w:tab/>
      </w:r>
      <w:r w:rsidR="00545FA4" w:rsidRPr="001C27A1">
        <w:rPr>
          <w:rFonts w:asciiTheme="minorHAnsi" w:eastAsiaTheme="minorHAnsi" w:hAnsiTheme="minorHAnsi"/>
          <w:color w:val="auto"/>
          <w:sz w:val="20"/>
          <w:szCs w:val="20"/>
          <w:lang w:eastAsia="en-US"/>
        </w:rPr>
        <w:tab/>
      </w:r>
      <w:r w:rsidR="00545FA4" w:rsidRPr="001C27A1">
        <w:rPr>
          <w:rFonts w:asciiTheme="minorHAnsi" w:eastAsiaTheme="minorHAnsi" w:hAnsiTheme="minorHAnsi"/>
          <w:color w:val="auto"/>
          <w:sz w:val="20"/>
          <w:szCs w:val="20"/>
          <w:lang w:eastAsia="en-US"/>
        </w:rPr>
        <w:tab/>
      </w:r>
      <w:r w:rsidR="00545FA4" w:rsidRPr="001C27A1">
        <w:rPr>
          <w:rFonts w:asciiTheme="minorHAnsi" w:eastAsiaTheme="minorHAnsi" w:hAnsiTheme="minorHAnsi"/>
          <w:color w:val="auto"/>
          <w:sz w:val="20"/>
          <w:szCs w:val="20"/>
          <w:lang w:eastAsia="en-US"/>
        </w:rPr>
        <w:tab/>
        <w:t xml:space="preserve">        </w:t>
      </w:r>
    </w:p>
    <w:p w14:paraId="00508F6A" w14:textId="77777777" w:rsidR="00545FA4" w:rsidRPr="001C27A1" w:rsidRDefault="00545FA4" w:rsidP="00545FA4">
      <w:pPr>
        <w:spacing w:line="276" w:lineRule="auto"/>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eastAsia="en-US"/>
        </w:rPr>
        <w:t>Pregled stanja garancija i maksimalno dozvoljenog iznosa garancija na nivou kreditnog portfelja finansijskih posrednika u Garantnom programu COVID 19 na dan 31.12.2023. godine</w:t>
      </w:r>
    </w:p>
    <w:p w14:paraId="2D9A7E58" w14:textId="77777777" w:rsidR="00545FA4" w:rsidRPr="001C27A1" w:rsidRDefault="00545FA4" w:rsidP="00545FA4">
      <w:pPr>
        <w:spacing w:line="276" w:lineRule="auto"/>
        <w:rPr>
          <w:rFonts w:asciiTheme="minorHAnsi" w:eastAsiaTheme="minorHAnsi" w:hAnsiTheme="minorHAnsi"/>
          <w:color w:val="000000" w:themeColor="text1"/>
          <w:sz w:val="20"/>
          <w:szCs w:val="20"/>
          <w:lang w:val="sr-Cyrl-RS" w:eastAsia="en-US"/>
        </w:rPr>
      </w:pPr>
    </w:p>
    <w:p w14:paraId="1AEDCF96" w14:textId="77777777" w:rsidR="00545FA4" w:rsidRPr="001C27A1" w:rsidRDefault="00545FA4" w:rsidP="00545FA4">
      <w:pPr>
        <w:spacing w:line="276" w:lineRule="auto"/>
        <w:rPr>
          <w:rFonts w:asciiTheme="minorHAnsi" w:eastAsiaTheme="minorHAnsi" w:hAnsiTheme="minorHAnsi"/>
          <w:b/>
          <w:color w:val="000000" w:themeColor="text1"/>
          <w:sz w:val="20"/>
          <w:szCs w:val="20"/>
          <w:lang w:val="sr-Cyrl-RS" w:eastAsia="en-US"/>
        </w:rPr>
      </w:pP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color w:val="000000" w:themeColor="text1"/>
          <w:sz w:val="20"/>
          <w:szCs w:val="20"/>
          <w:lang w:eastAsia="en-US"/>
        </w:rPr>
        <w:tab/>
      </w:r>
      <w:r w:rsidRPr="001C27A1">
        <w:rPr>
          <w:rFonts w:asciiTheme="minorHAnsi" w:eastAsiaTheme="minorHAnsi" w:hAnsiTheme="minorHAnsi"/>
          <w:b/>
          <w:color w:val="000000" w:themeColor="text1"/>
          <w:sz w:val="20"/>
          <w:szCs w:val="20"/>
          <w:lang w:eastAsia="en-US"/>
        </w:rPr>
        <w:t>Tabela 21</w:t>
      </w:r>
    </w:p>
    <w:tbl>
      <w:tblPr>
        <w:tblW w:w="8662" w:type="dxa"/>
        <w:tblInd w:w="93" w:type="dxa"/>
        <w:tblLayout w:type="fixed"/>
        <w:tblLook w:val="04A0" w:firstRow="1" w:lastRow="0" w:firstColumn="1" w:lastColumn="0" w:noHBand="0" w:noVBand="1"/>
      </w:tblPr>
      <w:tblGrid>
        <w:gridCol w:w="3843"/>
        <w:gridCol w:w="1559"/>
        <w:gridCol w:w="1559"/>
        <w:gridCol w:w="1701"/>
      </w:tblGrid>
      <w:tr w:rsidR="00545FA4" w:rsidRPr="001C27A1" w14:paraId="5D4219C5" w14:textId="77777777" w:rsidTr="009C697E">
        <w:trPr>
          <w:trHeight w:val="552"/>
        </w:trPr>
        <w:tc>
          <w:tcPr>
            <w:tcW w:w="38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04178A6"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rPr>
              <w:t>Finansijski posrednik</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ABE32E6"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rPr>
              <w:t>Stanje kredita na dan 31.12.2023.</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DB37D0B"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rPr>
              <w:t>Stanje garancije na dan 31.12.2023.</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9D0E084" w14:textId="77777777" w:rsidR="00545FA4" w:rsidRPr="009C697E" w:rsidRDefault="00545FA4" w:rsidP="00545FA4">
            <w:pPr>
              <w:jc w:val="center"/>
              <w:rPr>
                <w:rFonts w:asciiTheme="minorHAnsi" w:hAnsiTheme="minorHAnsi"/>
                <w:b/>
                <w:color w:val="auto"/>
                <w:sz w:val="18"/>
                <w:szCs w:val="18"/>
              </w:rPr>
            </w:pPr>
            <w:r w:rsidRPr="009C697E">
              <w:rPr>
                <w:rFonts w:asciiTheme="minorHAnsi" w:hAnsiTheme="minorHAnsi"/>
                <w:b/>
                <w:color w:val="auto"/>
                <w:sz w:val="18"/>
                <w:szCs w:val="18"/>
              </w:rPr>
              <w:t>Maksimalni dozvoljeni iznos garancije na dan 31.12.2023.</w:t>
            </w:r>
          </w:p>
        </w:tc>
      </w:tr>
      <w:tr w:rsidR="00545FA4" w:rsidRPr="001C27A1" w14:paraId="763A0B3C"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3711C" w14:textId="77777777" w:rsidR="00545FA4" w:rsidRPr="009C697E" w:rsidRDefault="009C697E" w:rsidP="00545FA4">
            <w:pPr>
              <w:jc w:val="left"/>
              <w:rPr>
                <w:rFonts w:asciiTheme="minorHAnsi" w:hAnsiTheme="minorHAnsi"/>
                <w:caps/>
                <w:sz w:val="18"/>
                <w:szCs w:val="18"/>
              </w:rPr>
            </w:pPr>
            <w:r w:rsidRPr="009C697E">
              <w:rPr>
                <w:rFonts w:asciiTheme="minorHAnsi" w:hAnsiTheme="minorHAnsi"/>
                <w:sz w:val="18"/>
                <w:szCs w:val="18"/>
              </w:rPr>
              <w:t>Procredit bank d.d. Sarajevo</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71124"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15.117.740,33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98757"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10.582.418,23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529F8C9"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3.174.725,47</w:t>
            </w:r>
          </w:p>
        </w:tc>
      </w:tr>
      <w:tr w:rsidR="00545FA4" w:rsidRPr="001C27A1" w14:paraId="145DD6E6"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E034B"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Unicredit bank a.d.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12FE3"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906.186,81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6D08F"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634.330,77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92BE786"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190.299,23</w:t>
            </w:r>
          </w:p>
        </w:tc>
      </w:tr>
      <w:tr w:rsidR="00545FA4" w:rsidRPr="001C27A1" w14:paraId="37F68F10"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9F983"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MF Banka a.d.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60D20"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4.544.869,08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26C41"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3.181.408,36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69FB52F"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954.422,51</w:t>
            </w:r>
          </w:p>
        </w:tc>
      </w:tr>
      <w:tr w:rsidR="00545FA4" w:rsidRPr="001C27A1" w14:paraId="3BC1B02C"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B1B21"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Nova banka a.d.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6AF2"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1.697.753,47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FBB53"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1.188.427,43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A125131"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356.528,29</w:t>
            </w:r>
          </w:p>
        </w:tc>
      </w:tr>
      <w:tr w:rsidR="00545FA4" w:rsidRPr="001C27A1" w14:paraId="050D6AF2"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06CFE" w14:textId="77777777" w:rsidR="00545FA4" w:rsidRPr="009C697E" w:rsidRDefault="009C697E" w:rsidP="00545FA4">
            <w:pPr>
              <w:jc w:val="left"/>
              <w:rPr>
                <w:rFonts w:asciiTheme="minorHAnsi" w:hAnsiTheme="minorHAnsi"/>
                <w:caps/>
                <w:sz w:val="18"/>
                <w:szCs w:val="18"/>
              </w:rPr>
            </w:pPr>
            <w:r w:rsidRPr="009C697E">
              <w:rPr>
                <w:rFonts w:asciiTheme="minorHAnsi" w:hAnsiTheme="minorHAnsi"/>
                <w:sz w:val="18"/>
                <w:szCs w:val="18"/>
              </w:rPr>
              <w:t>Raiffeisen bank d.d. Sarajevo</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1FA0F"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287.545,63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2C440"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201.281,94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5BFAAEE"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60.384,58</w:t>
            </w:r>
          </w:p>
        </w:tc>
      </w:tr>
      <w:tr w:rsidR="00545FA4" w:rsidRPr="001C27A1" w14:paraId="477F3752"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C6A67"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Nlb banka a.d.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ADCDE"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73.666,54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7F669"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51.566,58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8D4D1BD"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15.469,97</w:t>
            </w:r>
          </w:p>
        </w:tc>
      </w:tr>
      <w:tr w:rsidR="00545FA4" w:rsidRPr="001C27A1" w14:paraId="3702FF29" w14:textId="77777777" w:rsidTr="00545FA4">
        <w:trPr>
          <w:trHeight w:val="213"/>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A21B2" w14:textId="77777777" w:rsidR="00545FA4" w:rsidRPr="009C697E" w:rsidRDefault="009C697E" w:rsidP="00545FA4">
            <w:pPr>
              <w:jc w:val="left"/>
              <w:rPr>
                <w:rFonts w:asciiTheme="minorHAnsi" w:hAnsiTheme="minorHAnsi"/>
                <w:caps/>
                <w:sz w:val="18"/>
                <w:szCs w:val="18"/>
              </w:rPr>
            </w:pPr>
            <w:r w:rsidRPr="009C697E">
              <w:rPr>
                <w:rFonts w:asciiTheme="minorHAnsi" w:hAnsiTheme="minorHAnsi"/>
                <w:sz w:val="18"/>
                <w:szCs w:val="18"/>
              </w:rPr>
              <w:t>Banka poštanska štedionica a.d.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BB2DC"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50.189,97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96BE1"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35.132,98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6C54ED"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10.539,87</w:t>
            </w:r>
          </w:p>
        </w:tc>
      </w:tr>
      <w:tr w:rsidR="00545FA4" w:rsidRPr="001C27A1" w14:paraId="35DD4DB4"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3936D"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Mkd mikrofin d.o.o.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B73AB"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1545E"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19E6D8C"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0,00</w:t>
            </w:r>
          </w:p>
        </w:tc>
      </w:tr>
      <w:tr w:rsidR="00545FA4" w:rsidRPr="001C27A1" w14:paraId="109E64B3" w14:textId="77777777" w:rsidTr="00545FA4">
        <w:trPr>
          <w:trHeight w:val="222"/>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AD4ED" w14:textId="77777777" w:rsidR="00545FA4" w:rsidRPr="009C697E" w:rsidRDefault="009C697E" w:rsidP="00545FA4">
            <w:pPr>
              <w:jc w:val="left"/>
              <w:rPr>
                <w:rFonts w:asciiTheme="minorHAnsi" w:hAnsiTheme="minorHAnsi"/>
                <w:caps/>
                <w:sz w:val="18"/>
                <w:szCs w:val="18"/>
              </w:rPr>
            </w:pPr>
            <w:r>
              <w:rPr>
                <w:rFonts w:asciiTheme="minorHAnsi" w:hAnsiTheme="minorHAnsi"/>
                <w:sz w:val="18"/>
                <w:szCs w:val="18"/>
              </w:rPr>
              <w:t>Atos banka a.d.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74192"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352.004,19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B3DBB" w14:textId="77777777" w:rsidR="00545FA4" w:rsidRPr="009C697E" w:rsidRDefault="00545FA4" w:rsidP="00545FA4">
            <w:pPr>
              <w:jc w:val="right"/>
              <w:rPr>
                <w:rFonts w:asciiTheme="minorHAnsi" w:hAnsiTheme="minorHAnsi"/>
                <w:sz w:val="18"/>
                <w:szCs w:val="18"/>
                <w:lang w:val="sr-Cyrl-RS"/>
              </w:rPr>
            </w:pPr>
            <w:r w:rsidRPr="009C697E">
              <w:rPr>
                <w:rFonts w:asciiTheme="minorHAnsi" w:hAnsiTheme="minorHAnsi"/>
                <w:sz w:val="18"/>
                <w:szCs w:val="18"/>
              </w:rPr>
              <w:t>246.402,93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2EBF18C" w14:textId="77777777" w:rsidR="00545FA4" w:rsidRPr="009C697E" w:rsidRDefault="00545FA4" w:rsidP="00545FA4">
            <w:pPr>
              <w:jc w:val="right"/>
              <w:rPr>
                <w:rFonts w:asciiTheme="minorHAnsi" w:eastAsiaTheme="minorHAnsi" w:hAnsiTheme="minorHAnsi"/>
                <w:color w:val="auto"/>
                <w:sz w:val="18"/>
                <w:szCs w:val="18"/>
                <w:lang w:val="sr-Cyrl-RS" w:eastAsia="en-US"/>
              </w:rPr>
            </w:pPr>
            <w:r w:rsidRPr="009C697E">
              <w:rPr>
                <w:rFonts w:asciiTheme="minorHAnsi" w:eastAsiaTheme="minorHAnsi" w:hAnsiTheme="minorHAnsi"/>
                <w:color w:val="auto"/>
                <w:sz w:val="18"/>
                <w:szCs w:val="18"/>
                <w:lang w:eastAsia="en-US"/>
              </w:rPr>
              <w:t>73.920,88</w:t>
            </w:r>
          </w:p>
        </w:tc>
      </w:tr>
      <w:tr w:rsidR="00545FA4" w:rsidRPr="001C27A1" w14:paraId="3A604FFA" w14:textId="77777777" w:rsidTr="009C697E">
        <w:trPr>
          <w:trHeight w:val="252"/>
        </w:trPr>
        <w:tc>
          <w:tcPr>
            <w:tcW w:w="384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2789DC87" w14:textId="63569BCB" w:rsidR="00545FA4" w:rsidRPr="009C697E" w:rsidRDefault="00DF60FC" w:rsidP="00545FA4">
            <w:pPr>
              <w:jc w:val="left"/>
              <w:rPr>
                <w:rFonts w:asciiTheme="minorHAnsi" w:hAnsiTheme="minorHAnsi"/>
                <w:b/>
                <w:bCs/>
                <w:color w:val="auto"/>
                <w:sz w:val="18"/>
                <w:szCs w:val="18"/>
                <w:lang w:val="sr-Cyrl-BA"/>
              </w:rPr>
            </w:pPr>
            <w:r>
              <w:rPr>
                <w:rFonts w:asciiTheme="minorHAnsi" w:hAnsiTheme="minorHAnsi"/>
                <w:b/>
                <w:bCs/>
                <w:color w:val="auto"/>
                <w:sz w:val="18"/>
                <w:szCs w:val="18"/>
              </w:rPr>
              <w:t>UKUPNO</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6EDDF50A" w14:textId="77777777" w:rsidR="00545FA4" w:rsidRPr="009C697E" w:rsidRDefault="00545FA4" w:rsidP="00545FA4">
            <w:pPr>
              <w:jc w:val="right"/>
              <w:rPr>
                <w:rFonts w:asciiTheme="minorHAnsi" w:hAnsiTheme="minorHAnsi"/>
                <w:b/>
                <w:bCs/>
                <w:color w:val="auto"/>
                <w:sz w:val="18"/>
                <w:szCs w:val="18"/>
                <w:lang w:val="sr-Cyrl-RS"/>
              </w:rPr>
            </w:pPr>
            <w:r w:rsidRPr="009C697E">
              <w:rPr>
                <w:rFonts w:asciiTheme="minorHAnsi" w:hAnsiTheme="minorHAnsi"/>
                <w:b/>
                <w:bCs/>
                <w:color w:val="auto"/>
                <w:sz w:val="18"/>
                <w:szCs w:val="18"/>
              </w:rPr>
              <w:t>23.029.956,02</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40E8435" w14:textId="77777777" w:rsidR="00545FA4" w:rsidRPr="009C697E" w:rsidRDefault="00545FA4" w:rsidP="00545FA4">
            <w:pPr>
              <w:jc w:val="right"/>
              <w:rPr>
                <w:rFonts w:asciiTheme="minorHAnsi" w:hAnsiTheme="minorHAnsi"/>
                <w:b/>
                <w:bCs/>
                <w:color w:val="auto"/>
                <w:sz w:val="18"/>
                <w:szCs w:val="18"/>
                <w:lang w:val="sr-Cyrl-RS"/>
              </w:rPr>
            </w:pPr>
            <w:r w:rsidRPr="009C697E">
              <w:rPr>
                <w:rFonts w:asciiTheme="minorHAnsi" w:hAnsiTheme="minorHAnsi"/>
                <w:b/>
                <w:bCs/>
                <w:color w:val="auto"/>
                <w:sz w:val="18"/>
                <w:szCs w:val="18"/>
              </w:rPr>
              <w:t>16.120.969,21</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tcPr>
          <w:p w14:paraId="4BF2BD98" w14:textId="77777777" w:rsidR="00545FA4" w:rsidRPr="009C697E" w:rsidRDefault="009C697E" w:rsidP="00545FA4">
            <w:pPr>
              <w:jc w:val="right"/>
              <w:rPr>
                <w:rFonts w:asciiTheme="minorHAnsi" w:eastAsiaTheme="minorHAnsi" w:hAnsiTheme="minorHAnsi"/>
                <w:b/>
                <w:color w:val="auto"/>
                <w:sz w:val="18"/>
                <w:szCs w:val="18"/>
                <w:lang w:val="sr-Cyrl-RS" w:eastAsia="en-US"/>
              </w:rPr>
            </w:pPr>
            <w:r>
              <w:rPr>
                <w:rFonts w:asciiTheme="minorHAnsi" w:eastAsiaTheme="minorHAnsi" w:hAnsiTheme="minorHAnsi"/>
                <w:b/>
                <w:color w:val="auto"/>
                <w:sz w:val="18"/>
                <w:szCs w:val="18"/>
                <w:lang w:eastAsia="en-US"/>
              </w:rPr>
              <w:t>4.836.290,76</w:t>
            </w:r>
          </w:p>
        </w:tc>
      </w:tr>
    </w:tbl>
    <w:p w14:paraId="1BE908E8" w14:textId="77777777" w:rsidR="00545FA4" w:rsidRPr="001C27A1" w:rsidRDefault="00545FA4" w:rsidP="00545FA4">
      <w:pPr>
        <w:spacing w:line="276" w:lineRule="auto"/>
        <w:rPr>
          <w:rFonts w:asciiTheme="minorHAnsi" w:eastAsiaTheme="minorHAnsi" w:hAnsiTheme="minorHAnsi"/>
          <w:color w:val="auto"/>
          <w:sz w:val="20"/>
          <w:szCs w:val="20"/>
          <w:lang w:val="sr-Cyrl-BA" w:eastAsia="en-US"/>
        </w:rPr>
      </w:pPr>
    </w:p>
    <w:p w14:paraId="56077303" w14:textId="77777777" w:rsidR="00545FA4" w:rsidRPr="001C27A1" w:rsidRDefault="00545FA4" w:rsidP="00545FA4">
      <w:pPr>
        <w:spacing w:line="276" w:lineRule="auto"/>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eastAsia="en-US"/>
        </w:rPr>
        <w:t>Odlukom o Garantnom programu COVID 19 je definisan maksimalni dozvoljeni iznos garancije kreditnog portfolija kao proizvod stvarnog volumena portfolija kredita, stope pokrića (70%), stope maksimalne garancije (30%) i stope puštanja kredita u tečaj.  Prema stanju kredita i pripadajućem stanju garancija, maksimalni dozvoljeni iznos garancije, odnosno maksimalna potencijalna obaveza Vlade Republike Srpske na dan 31.12.2023. godine je iznosila 4.836.290,80 KM.</w:t>
      </w:r>
    </w:p>
    <w:p w14:paraId="76D425E9" w14:textId="77777777" w:rsidR="001538EF" w:rsidRPr="001C27A1" w:rsidRDefault="001538EF" w:rsidP="001538EF">
      <w:pPr>
        <w:jc w:val="right"/>
        <w:rPr>
          <w:rFonts w:asciiTheme="minorHAnsi" w:hAnsiTheme="minorHAnsi"/>
          <w:sz w:val="20"/>
          <w:szCs w:val="20"/>
          <w:lang w:val="sr-Cyrl-BA"/>
        </w:rPr>
      </w:pPr>
    </w:p>
    <w:p w14:paraId="43BF4418" w14:textId="77777777" w:rsidR="001538EF" w:rsidRPr="001C27A1" w:rsidRDefault="001538EF" w:rsidP="001538EF">
      <w:pPr>
        <w:spacing w:line="276" w:lineRule="auto"/>
        <w:jc w:val="center"/>
        <w:rPr>
          <w:rFonts w:asciiTheme="minorHAnsi" w:eastAsiaTheme="minorHAnsi" w:hAnsiTheme="minorHAnsi"/>
          <w:b/>
          <w:color w:val="auto"/>
          <w:sz w:val="20"/>
          <w:szCs w:val="20"/>
          <w:lang w:val="sr-Cyrl-RS" w:eastAsia="en-US"/>
        </w:rPr>
      </w:pPr>
    </w:p>
    <w:p w14:paraId="1BA42EA7" w14:textId="77777777" w:rsidR="001538EF" w:rsidRPr="001C27A1" w:rsidRDefault="001538EF" w:rsidP="001538EF">
      <w:pPr>
        <w:spacing w:after="200" w:line="276" w:lineRule="auto"/>
        <w:jc w:val="left"/>
        <w:rPr>
          <w:rFonts w:asciiTheme="minorHAnsi" w:hAnsiTheme="minorHAnsi"/>
          <w:b/>
          <w:sz w:val="20"/>
          <w:szCs w:val="20"/>
          <w:lang w:val="sr-Cyrl-CS" w:eastAsia="sr-Cyrl-CS"/>
        </w:rPr>
      </w:pPr>
      <w:r w:rsidRPr="001C27A1">
        <w:rPr>
          <w:rFonts w:asciiTheme="minorHAnsi" w:hAnsiTheme="minorHAnsi"/>
          <w:b/>
          <w:sz w:val="20"/>
          <w:szCs w:val="20"/>
          <w:lang w:eastAsia="sr-Cyrl-CS"/>
        </w:rPr>
        <w:br w:type="page"/>
      </w:r>
    </w:p>
    <w:p w14:paraId="049E7FA8" w14:textId="77777777" w:rsidR="001538EF" w:rsidRPr="005767EF" w:rsidRDefault="001538EF" w:rsidP="001538EF">
      <w:pPr>
        <w:rPr>
          <w:rFonts w:asciiTheme="minorHAnsi" w:hAnsiTheme="minorHAnsi"/>
          <w:b/>
          <w:sz w:val="20"/>
          <w:szCs w:val="20"/>
          <w:lang w:val="sr-Cyrl-CS" w:eastAsia="sr-Cyrl-CS"/>
        </w:rPr>
      </w:pPr>
    </w:p>
    <w:p w14:paraId="4F941258" w14:textId="77777777" w:rsidR="001538EF" w:rsidRPr="00EE16CE" w:rsidRDefault="00E84021" w:rsidP="00E84021">
      <w:pPr>
        <w:pStyle w:val="Heading1"/>
        <w:numPr>
          <w:ilvl w:val="0"/>
          <w:numId w:val="0"/>
        </w:numPr>
        <w:ind w:left="431" w:hanging="431"/>
        <w:rPr>
          <w:rFonts w:asciiTheme="minorHAnsi" w:hAnsiTheme="minorHAnsi"/>
          <w:lang w:val="sr-Cyrl-RS"/>
        </w:rPr>
      </w:pPr>
      <w:bookmarkStart w:id="11" w:name="_Toc135292174"/>
      <w:r>
        <w:rPr>
          <w:rFonts w:asciiTheme="minorHAnsi" w:hAnsiTheme="minorHAnsi"/>
        </w:rPr>
        <w:t>3. ANALIZA FINANSIJSKOG REZULTATA U 2023. GODINI</w:t>
      </w:r>
      <w:bookmarkEnd w:id="11"/>
    </w:p>
    <w:p w14:paraId="7E908A4A" w14:textId="77777777" w:rsidR="001538EF" w:rsidRPr="001B7A30" w:rsidRDefault="00E84021" w:rsidP="00E84021">
      <w:pPr>
        <w:pStyle w:val="Heading2"/>
        <w:numPr>
          <w:ilvl w:val="0"/>
          <w:numId w:val="0"/>
        </w:numPr>
        <w:rPr>
          <w:rFonts w:asciiTheme="minorHAnsi" w:hAnsiTheme="minorHAnsi"/>
          <w:szCs w:val="20"/>
          <w:lang w:val="sr-Cyrl-RS"/>
        </w:rPr>
      </w:pPr>
      <w:bookmarkStart w:id="12" w:name="_Toc135292175"/>
      <w:r w:rsidRPr="001B7A30">
        <w:rPr>
          <w:rFonts w:asciiTheme="minorHAnsi" w:hAnsiTheme="minorHAnsi"/>
          <w:szCs w:val="20"/>
        </w:rPr>
        <w:t>3.1 . ANALIZA OSTVARENIH PRIHODA U 2023. GODINI</w:t>
      </w:r>
      <w:bookmarkEnd w:id="12"/>
    </w:p>
    <w:p w14:paraId="0A162E4D" w14:textId="77777777" w:rsidR="001538EF" w:rsidRPr="005767EF" w:rsidRDefault="001538EF" w:rsidP="003953F5">
      <w:pPr>
        <w:jc w:val="right"/>
        <w:rPr>
          <w:rFonts w:asciiTheme="minorHAnsi" w:hAnsiTheme="minorHAnsi"/>
          <w:color w:val="auto"/>
          <w:sz w:val="20"/>
          <w:szCs w:val="20"/>
          <w:lang w:val="sr-Cyrl-CS" w:eastAsia="sr-Cyrl-CS"/>
        </w:rPr>
      </w:pPr>
    </w:p>
    <w:p w14:paraId="0FFAE55D" w14:textId="77777777" w:rsidR="001538EF" w:rsidRPr="005767EF" w:rsidRDefault="001538EF" w:rsidP="001538EF">
      <w:pPr>
        <w:ind w:left="708"/>
        <w:jc w:val="center"/>
        <w:rPr>
          <w:rFonts w:asciiTheme="minorHAnsi" w:hAnsiTheme="minorHAnsi"/>
          <w:b/>
          <w:sz w:val="20"/>
          <w:szCs w:val="20"/>
          <w:lang w:val="sr-Cyrl-CS" w:eastAsia="sr-Cyrl-CS"/>
        </w:rPr>
      </w:pPr>
      <w:r w:rsidRPr="005767EF">
        <w:rPr>
          <w:rFonts w:asciiTheme="minorHAnsi" w:hAnsiTheme="minorHAnsi"/>
          <w:b/>
          <w:sz w:val="20"/>
          <w:szCs w:val="20"/>
          <w:lang w:eastAsia="sr-Cyrl-CS"/>
        </w:rPr>
        <w:t>Pregled ostvarenih prihoda u 2023. godini</w:t>
      </w:r>
    </w:p>
    <w:p w14:paraId="273DECC4" w14:textId="77777777" w:rsidR="001538EF" w:rsidRPr="005767EF" w:rsidRDefault="001538EF" w:rsidP="001538EF">
      <w:pPr>
        <w:ind w:left="708"/>
        <w:jc w:val="center"/>
        <w:rPr>
          <w:rFonts w:asciiTheme="minorHAnsi" w:hAnsiTheme="minorHAnsi"/>
          <w:b/>
          <w:sz w:val="20"/>
          <w:szCs w:val="20"/>
          <w:lang w:val="sr-Cyrl-CS" w:eastAsia="sr-Cyrl-CS"/>
        </w:rPr>
      </w:pPr>
    </w:p>
    <w:p w14:paraId="0DB0D5BA" w14:textId="77777777" w:rsidR="007377DB" w:rsidRPr="007377DB" w:rsidRDefault="00DC72FE" w:rsidP="007377DB">
      <w:pPr>
        <w:ind w:left="6381" w:firstLine="709"/>
        <w:rPr>
          <w:rFonts w:asciiTheme="minorHAnsi" w:hAnsiTheme="minorHAnsi"/>
          <w:b/>
          <w:sz w:val="20"/>
          <w:szCs w:val="20"/>
          <w:lang w:eastAsia="sr-Cyrl-CS"/>
        </w:rPr>
      </w:pPr>
      <w:r>
        <w:rPr>
          <w:rFonts w:asciiTheme="minorHAnsi" w:hAnsiTheme="minorHAnsi"/>
          <w:b/>
          <w:sz w:val="20"/>
          <w:szCs w:val="20"/>
          <w:lang w:eastAsia="sr-Cyrl-CS"/>
        </w:rPr>
        <w:t xml:space="preserve">                  Tabela 22</w:t>
      </w:r>
      <w:r w:rsidR="007377DB">
        <w:rPr>
          <w:lang w:eastAsia="sr-Cyrl-CS"/>
        </w:rPr>
        <w:fldChar w:fldCharType="begin"/>
      </w:r>
      <w:r w:rsidR="007377DB">
        <w:rPr>
          <w:lang w:eastAsia="sr-Cyrl-CS"/>
        </w:rPr>
        <w:instrText xml:space="preserve"> LINK Excel.Sheet.12 "\\\\garfond.int\\Data\\Users\\radana.lukic\\Documents\\Tabele za izvještaj-analiza finansijskog rezultata.xlsx" "Sheet1!R2C2:R18C6" \a \f 4 \h  \* MERGEFORMAT </w:instrText>
      </w:r>
      <w:r w:rsidR="007377DB">
        <w:rPr>
          <w:lang w:eastAsia="sr-Cyrl-CS"/>
        </w:rPr>
        <w:fldChar w:fldCharType="separate"/>
      </w:r>
    </w:p>
    <w:tbl>
      <w:tblPr>
        <w:tblW w:w="8789" w:type="dxa"/>
        <w:tblInd w:w="108" w:type="dxa"/>
        <w:tblLook w:val="04A0" w:firstRow="1" w:lastRow="0" w:firstColumn="1" w:lastColumn="0" w:noHBand="0" w:noVBand="1"/>
      </w:tblPr>
      <w:tblGrid>
        <w:gridCol w:w="3828"/>
        <w:gridCol w:w="1287"/>
        <w:gridCol w:w="1406"/>
        <w:gridCol w:w="1134"/>
        <w:gridCol w:w="1134"/>
      </w:tblGrid>
      <w:tr w:rsidR="007377DB" w:rsidRPr="007377DB" w14:paraId="640C05A0" w14:textId="77777777" w:rsidTr="007377DB">
        <w:trPr>
          <w:trHeight w:val="517"/>
        </w:trPr>
        <w:tc>
          <w:tcPr>
            <w:tcW w:w="3828" w:type="dxa"/>
            <w:vMerge w:val="restart"/>
            <w:tcBorders>
              <w:top w:val="single" w:sz="4" w:space="0" w:color="auto"/>
              <w:left w:val="single" w:sz="4" w:space="0" w:color="auto"/>
              <w:bottom w:val="single" w:sz="4" w:space="0" w:color="auto"/>
              <w:right w:val="single" w:sz="4" w:space="0" w:color="auto"/>
            </w:tcBorders>
            <w:shd w:val="clear" w:color="000000" w:fill="8DB4E2"/>
            <w:noWrap/>
            <w:vAlign w:val="center"/>
            <w:hideMark/>
          </w:tcPr>
          <w:p w14:paraId="5403EEBA"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Vrsta prihoda</w:t>
            </w:r>
          </w:p>
        </w:tc>
        <w:tc>
          <w:tcPr>
            <w:tcW w:w="1287" w:type="dxa"/>
            <w:vMerge w:val="restart"/>
            <w:tcBorders>
              <w:top w:val="single" w:sz="4" w:space="0" w:color="auto"/>
              <w:left w:val="single" w:sz="4" w:space="0" w:color="auto"/>
              <w:bottom w:val="single" w:sz="4" w:space="0" w:color="000000"/>
              <w:right w:val="single" w:sz="4" w:space="0" w:color="auto"/>
            </w:tcBorders>
            <w:shd w:val="clear" w:color="000000" w:fill="8DB4E2"/>
            <w:vAlign w:val="center"/>
            <w:hideMark/>
          </w:tcPr>
          <w:p w14:paraId="35EA2B37" w14:textId="3A03F8FE" w:rsidR="007377DB" w:rsidRPr="007377DB" w:rsidRDefault="007377DB" w:rsidP="007377DB">
            <w:pPr>
              <w:jc w:val="center"/>
              <w:rPr>
                <w:rFonts w:ascii="Calibri" w:hAnsi="Calibri"/>
                <w:b/>
                <w:bCs/>
                <w:sz w:val="20"/>
                <w:szCs w:val="20"/>
              </w:rPr>
            </w:pPr>
            <w:r w:rsidRPr="007377DB">
              <w:rPr>
                <w:rFonts w:ascii="Calibri" w:hAnsi="Calibri"/>
                <w:b/>
                <w:bCs/>
                <w:sz w:val="20"/>
                <w:szCs w:val="20"/>
              </w:rPr>
              <w:t>Planirano</w:t>
            </w:r>
            <w:r w:rsidR="001B7A30">
              <w:rPr>
                <w:rFonts w:ascii="Calibri" w:hAnsi="Calibri"/>
                <w:b/>
                <w:bCs/>
                <w:sz w:val="20"/>
                <w:szCs w:val="20"/>
              </w:rPr>
              <w:t xml:space="preserve"> u</w:t>
            </w:r>
            <w:r w:rsidRPr="007377DB">
              <w:rPr>
                <w:rFonts w:ascii="Calibri" w:hAnsi="Calibri"/>
                <w:b/>
                <w:bCs/>
                <w:sz w:val="20"/>
                <w:szCs w:val="20"/>
              </w:rPr>
              <w:t xml:space="preserve"> 2023. </w:t>
            </w:r>
            <w:r w:rsidR="001B7A30">
              <w:rPr>
                <w:rFonts w:ascii="Calibri" w:hAnsi="Calibri"/>
                <w:b/>
                <w:bCs/>
                <w:sz w:val="20"/>
                <w:szCs w:val="20"/>
              </w:rPr>
              <w:t>g</w:t>
            </w:r>
            <w:r w:rsidRPr="007377DB">
              <w:rPr>
                <w:rFonts w:ascii="Calibri" w:hAnsi="Calibri"/>
                <w:b/>
                <w:bCs/>
                <w:sz w:val="20"/>
                <w:szCs w:val="20"/>
              </w:rPr>
              <w:t>odin</w:t>
            </w:r>
            <w:r w:rsidR="001B7A30">
              <w:rPr>
                <w:rFonts w:ascii="Calibri" w:hAnsi="Calibri"/>
                <w:b/>
                <w:bCs/>
                <w:sz w:val="20"/>
                <w:szCs w:val="20"/>
              </w:rPr>
              <w:t>i</w:t>
            </w:r>
          </w:p>
        </w:tc>
        <w:tc>
          <w:tcPr>
            <w:tcW w:w="1406" w:type="dxa"/>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7388A80E"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Ostvareno u 2023. godini</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8DB4E2"/>
            <w:noWrap/>
            <w:vAlign w:val="center"/>
            <w:hideMark/>
          </w:tcPr>
          <w:p w14:paraId="5CA42170"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Indeks</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8DB4E2"/>
            <w:vAlign w:val="center"/>
            <w:hideMark/>
          </w:tcPr>
          <w:p w14:paraId="1FA3A560" w14:textId="4151C49C" w:rsidR="007377DB" w:rsidRPr="007377DB" w:rsidRDefault="007377DB" w:rsidP="007377DB">
            <w:pPr>
              <w:jc w:val="center"/>
              <w:rPr>
                <w:rFonts w:ascii="Calibri" w:hAnsi="Calibri"/>
                <w:b/>
                <w:bCs/>
                <w:sz w:val="20"/>
                <w:szCs w:val="20"/>
              </w:rPr>
            </w:pPr>
            <w:r w:rsidRPr="007377DB">
              <w:rPr>
                <w:rFonts w:ascii="Calibri" w:hAnsi="Calibri"/>
                <w:b/>
                <w:bCs/>
                <w:sz w:val="20"/>
                <w:szCs w:val="20"/>
              </w:rPr>
              <w:t xml:space="preserve">Struktura </w:t>
            </w:r>
            <w:r w:rsidR="001B7A30">
              <w:rPr>
                <w:rFonts w:ascii="Calibri" w:hAnsi="Calibri"/>
                <w:b/>
                <w:bCs/>
                <w:sz w:val="20"/>
                <w:szCs w:val="20"/>
              </w:rPr>
              <w:t>prihoda</w:t>
            </w:r>
          </w:p>
        </w:tc>
      </w:tr>
      <w:tr w:rsidR="007377DB" w:rsidRPr="007377DB" w14:paraId="31DD9C7C" w14:textId="77777777" w:rsidTr="007377DB">
        <w:trPr>
          <w:trHeight w:val="517"/>
        </w:trPr>
        <w:tc>
          <w:tcPr>
            <w:tcW w:w="3828" w:type="dxa"/>
            <w:vMerge/>
            <w:tcBorders>
              <w:top w:val="single" w:sz="4" w:space="0" w:color="auto"/>
              <w:left w:val="single" w:sz="4" w:space="0" w:color="auto"/>
              <w:bottom w:val="single" w:sz="4" w:space="0" w:color="auto"/>
              <w:right w:val="single" w:sz="4" w:space="0" w:color="auto"/>
            </w:tcBorders>
            <w:vAlign w:val="center"/>
            <w:hideMark/>
          </w:tcPr>
          <w:p w14:paraId="3C40BC58" w14:textId="77777777" w:rsidR="007377DB" w:rsidRPr="007377DB" w:rsidRDefault="007377DB" w:rsidP="007377DB">
            <w:pPr>
              <w:jc w:val="left"/>
              <w:rPr>
                <w:rFonts w:ascii="Calibri" w:hAnsi="Calibri"/>
                <w:b/>
                <w:bCs/>
                <w:sz w:val="20"/>
                <w:szCs w:val="20"/>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14:paraId="1A86410E" w14:textId="77777777" w:rsidR="007377DB" w:rsidRPr="007377DB" w:rsidRDefault="007377DB" w:rsidP="007377DB">
            <w:pPr>
              <w:jc w:val="left"/>
              <w:rPr>
                <w:rFonts w:ascii="Calibri" w:hAnsi="Calibri"/>
                <w:b/>
                <w:bCs/>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14:paraId="2B7A7BB2"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4E82BB1"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9E0D87A" w14:textId="77777777" w:rsidR="007377DB" w:rsidRPr="007377DB" w:rsidRDefault="007377DB" w:rsidP="007377DB">
            <w:pPr>
              <w:jc w:val="left"/>
              <w:rPr>
                <w:rFonts w:ascii="Calibri" w:hAnsi="Calibri"/>
                <w:b/>
                <w:bCs/>
                <w:sz w:val="20"/>
                <w:szCs w:val="20"/>
              </w:rPr>
            </w:pPr>
          </w:p>
        </w:tc>
      </w:tr>
      <w:tr w:rsidR="007377DB" w:rsidRPr="007377DB" w14:paraId="4288AB1D" w14:textId="77777777" w:rsidTr="007377DB">
        <w:trPr>
          <w:trHeight w:val="517"/>
        </w:trPr>
        <w:tc>
          <w:tcPr>
            <w:tcW w:w="3828" w:type="dxa"/>
            <w:vMerge/>
            <w:tcBorders>
              <w:top w:val="single" w:sz="4" w:space="0" w:color="auto"/>
              <w:left w:val="single" w:sz="4" w:space="0" w:color="auto"/>
              <w:bottom w:val="single" w:sz="4" w:space="0" w:color="auto"/>
              <w:right w:val="single" w:sz="4" w:space="0" w:color="auto"/>
            </w:tcBorders>
            <w:vAlign w:val="center"/>
            <w:hideMark/>
          </w:tcPr>
          <w:p w14:paraId="1DC9048F" w14:textId="77777777" w:rsidR="007377DB" w:rsidRPr="007377DB" w:rsidRDefault="007377DB" w:rsidP="007377DB">
            <w:pPr>
              <w:jc w:val="left"/>
              <w:rPr>
                <w:rFonts w:ascii="Calibri" w:hAnsi="Calibri"/>
                <w:b/>
                <w:bCs/>
                <w:sz w:val="20"/>
                <w:szCs w:val="20"/>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14:paraId="43C0AEAD" w14:textId="77777777" w:rsidR="007377DB" w:rsidRPr="007377DB" w:rsidRDefault="007377DB" w:rsidP="007377DB">
            <w:pPr>
              <w:jc w:val="left"/>
              <w:rPr>
                <w:rFonts w:ascii="Calibri" w:hAnsi="Calibri"/>
                <w:b/>
                <w:bCs/>
                <w:sz w:val="20"/>
                <w:szCs w:val="20"/>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14:paraId="51F9FCB0"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7E5FBD9B" w14:textId="77777777" w:rsidR="007377DB" w:rsidRPr="007377DB" w:rsidRDefault="007377DB" w:rsidP="007377DB">
            <w:pPr>
              <w:jc w:val="left"/>
              <w:rPr>
                <w:rFonts w:ascii="Calibri" w:hAnsi="Calibri"/>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9F9E310" w14:textId="77777777" w:rsidR="007377DB" w:rsidRPr="007377DB" w:rsidRDefault="007377DB" w:rsidP="007377DB">
            <w:pPr>
              <w:jc w:val="left"/>
              <w:rPr>
                <w:rFonts w:ascii="Calibri" w:hAnsi="Calibri"/>
                <w:b/>
                <w:bCs/>
                <w:sz w:val="20"/>
                <w:szCs w:val="20"/>
              </w:rPr>
            </w:pPr>
          </w:p>
        </w:tc>
      </w:tr>
      <w:tr w:rsidR="007377DB" w:rsidRPr="007377DB" w14:paraId="2DDBF6C5"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10194A42"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1</w:t>
            </w:r>
          </w:p>
        </w:tc>
        <w:tc>
          <w:tcPr>
            <w:tcW w:w="1287" w:type="dxa"/>
            <w:tcBorders>
              <w:top w:val="nil"/>
              <w:left w:val="nil"/>
              <w:bottom w:val="single" w:sz="4" w:space="0" w:color="auto"/>
              <w:right w:val="single" w:sz="4" w:space="0" w:color="auto"/>
            </w:tcBorders>
            <w:shd w:val="clear" w:color="auto" w:fill="auto"/>
            <w:noWrap/>
            <w:vAlign w:val="center"/>
            <w:hideMark/>
          </w:tcPr>
          <w:p w14:paraId="35428DD5"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2</w:t>
            </w:r>
          </w:p>
        </w:tc>
        <w:tc>
          <w:tcPr>
            <w:tcW w:w="1406" w:type="dxa"/>
            <w:tcBorders>
              <w:top w:val="nil"/>
              <w:left w:val="nil"/>
              <w:bottom w:val="single" w:sz="4" w:space="0" w:color="auto"/>
              <w:right w:val="single" w:sz="4" w:space="0" w:color="auto"/>
            </w:tcBorders>
            <w:shd w:val="clear" w:color="auto" w:fill="auto"/>
            <w:noWrap/>
            <w:vAlign w:val="center"/>
            <w:hideMark/>
          </w:tcPr>
          <w:p w14:paraId="554805A3"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470D0F36"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4=3/2</w:t>
            </w:r>
          </w:p>
        </w:tc>
        <w:tc>
          <w:tcPr>
            <w:tcW w:w="1134" w:type="dxa"/>
            <w:tcBorders>
              <w:top w:val="nil"/>
              <w:left w:val="nil"/>
              <w:bottom w:val="single" w:sz="4" w:space="0" w:color="auto"/>
              <w:right w:val="single" w:sz="4" w:space="0" w:color="auto"/>
            </w:tcBorders>
            <w:shd w:val="clear" w:color="auto" w:fill="auto"/>
            <w:vAlign w:val="center"/>
            <w:hideMark/>
          </w:tcPr>
          <w:p w14:paraId="5B0D7204" w14:textId="77777777" w:rsidR="007377DB" w:rsidRPr="007377DB" w:rsidRDefault="007377DB" w:rsidP="007377DB">
            <w:pPr>
              <w:jc w:val="center"/>
              <w:rPr>
                <w:rFonts w:ascii="Calibri" w:hAnsi="Calibri"/>
                <w:b/>
                <w:bCs/>
                <w:sz w:val="20"/>
                <w:szCs w:val="20"/>
              </w:rPr>
            </w:pPr>
            <w:r w:rsidRPr="007377DB">
              <w:rPr>
                <w:rFonts w:ascii="Calibri" w:hAnsi="Calibri"/>
                <w:b/>
                <w:bCs/>
                <w:sz w:val="20"/>
                <w:szCs w:val="20"/>
              </w:rPr>
              <w:t>5</w:t>
            </w:r>
          </w:p>
        </w:tc>
      </w:tr>
      <w:tr w:rsidR="007377DB" w:rsidRPr="007377DB" w14:paraId="7D9EC915"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6A96ABF2" w14:textId="4385B07F" w:rsidR="007377DB" w:rsidRPr="007377DB" w:rsidRDefault="007377DB" w:rsidP="007377DB">
            <w:pPr>
              <w:jc w:val="left"/>
              <w:rPr>
                <w:rFonts w:ascii="Calibri" w:hAnsi="Calibri"/>
                <w:b/>
                <w:bCs/>
                <w:sz w:val="20"/>
                <w:szCs w:val="20"/>
              </w:rPr>
            </w:pPr>
            <w:r w:rsidRPr="007377DB">
              <w:rPr>
                <w:rFonts w:ascii="Calibri" w:hAnsi="Calibri"/>
                <w:b/>
                <w:bCs/>
                <w:sz w:val="20"/>
                <w:szCs w:val="20"/>
              </w:rPr>
              <w:t>Prihod</w:t>
            </w:r>
            <w:r w:rsidR="001B7A30">
              <w:rPr>
                <w:rFonts w:ascii="Calibri" w:hAnsi="Calibri"/>
                <w:b/>
                <w:bCs/>
                <w:sz w:val="20"/>
                <w:szCs w:val="20"/>
              </w:rPr>
              <w:t>i</w:t>
            </w:r>
            <w:r w:rsidRPr="007377DB">
              <w:rPr>
                <w:rFonts w:ascii="Calibri" w:hAnsi="Calibri"/>
                <w:b/>
                <w:bCs/>
                <w:sz w:val="20"/>
                <w:szCs w:val="20"/>
              </w:rPr>
              <w:t xml:space="preserve"> od kamat</w:t>
            </w:r>
            <w:r w:rsidR="001B7A30">
              <w:rPr>
                <w:rFonts w:ascii="Calibri" w:hAnsi="Calibri"/>
                <w:b/>
                <w:bCs/>
                <w:sz w:val="20"/>
                <w:szCs w:val="20"/>
              </w:rPr>
              <w:t>a</w:t>
            </w:r>
          </w:p>
        </w:tc>
        <w:tc>
          <w:tcPr>
            <w:tcW w:w="1287" w:type="dxa"/>
            <w:tcBorders>
              <w:top w:val="nil"/>
              <w:left w:val="nil"/>
              <w:bottom w:val="single" w:sz="4" w:space="0" w:color="auto"/>
              <w:right w:val="single" w:sz="4" w:space="0" w:color="auto"/>
            </w:tcBorders>
            <w:shd w:val="clear" w:color="auto" w:fill="auto"/>
            <w:noWrap/>
            <w:vAlign w:val="center"/>
            <w:hideMark/>
          </w:tcPr>
          <w:p w14:paraId="314F4E96"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678.000,00</w:t>
            </w:r>
          </w:p>
        </w:tc>
        <w:tc>
          <w:tcPr>
            <w:tcW w:w="1406" w:type="dxa"/>
            <w:tcBorders>
              <w:top w:val="nil"/>
              <w:left w:val="nil"/>
              <w:bottom w:val="single" w:sz="4" w:space="0" w:color="auto"/>
              <w:right w:val="single" w:sz="4" w:space="0" w:color="auto"/>
            </w:tcBorders>
            <w:shd w:val="clear" w:color="auto" w:fill="auto"/>
            <w:noWrap/>
            <w:vAlign w:val="center"/>
            <w:hideMark/>
          </w:tcPr>
          <w:p w14:paraId="4A86AB01"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478.325,78</w:t>
            </w:r>
          </w:p>
        </w:tc>
        <w:tc>
          <w:tcPr>
            <w:tcW w:w="1134" w:type="dxa"/>
            <w:tcBorders>
              <w:top w:val="nil"/>
              <w:left w:val="nil"/>
              <w:bottom w:val="single" w:sz="4" w:space="0" w:color="auto"/>
              <w:right w:val="single" w:sz="4" w:space="0" w:color="auto"/>
            </w:tcBorders>
            <w:shd w:val="clear" w:color="auto" w:fill="auto"/>
            <w:noWrap/>
            <w:vAlign w:val="center"/>
            <w:hideMark/>
          </w:tcPr>
          <w:p w14:paraId="2B5B2F63"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70,55</w:t>
            </w:r>
          </w:p>
        </w:tc>
        <w:tc>
          <w:tcPr>
            <w:tcW w:w="1134" w:type="dxa"/>
            <w:tcBorders>
              <w:top w:val="nil"/>
              <w:left w:val="nil"/>
              <w:bottom w:val="single" w:sz="4" w:space="0" w:color="auto"/>
              <w:right w:val="single" w:sz="4" w:space="0" w:color="auto"/>
            </w:tcBorders>
            <w:shd w:val="clear" w:color="auto" w:fill="auto"/>
            <w:vAlign w:val="center"/>
            <w:hideMark/>
          </w:tcPr>
          <w:p w14:paraId="6435C3A0"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37,48%</w:t>
            </w:r>
          </w:p>
        </w:tc>
      </w:tr>
      <w:tr w:rsidR="007377DB" w:rsidRPr="007377DB" w14:paraId="48260867"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4F95236A" w14:textId="77777777" w:rsidR="007377DB" w:rsidRPr="007377DB" w:rsidRDefault="007377DB" w:rsidP="007377DB">
            <w:pPr>
              <w:rPr>
                <w:rFonts w:ascii="Calibri" w:hAnsi="Calibri"/>
                <w:sz w:val="20"/>
                <w:szCs w:val="20"/>
              </w:rPr>
            </w:pPr>
            <w:r w:rsidRPr="007377DB">
              <w:rPr>
                <w:rFonts w:ascii="Calibri" w:hAnsi="Calibri"/>
                <w:sz w:val="20"/>
                <w:szCs w:val="20"/>
              </w:rPr>
              <w:t>Prihod od zateznih kamata</w:t>
            </w:r>
          </w:p>
        </w:tc>
        <w:tc>
          <w:tcPr>
            <w:tcW w:w="1287" w:type="dxa"/>
            <w:tcBorders>
              <w:top w:val="nil"/>
              <w:left w:val="nil"/>
              <w:bottom w:val="single" w:sz="4" w:space="0" w:color="auto"/>
              <w:right w:val="single" w:sz="4" w:space="0" w:color="auto"/>
            </w:tcBorders>
            <w:shd w:val="clear" w:color="auto" w:fill="auto"/>
            <w:noWrap/>
            <w:vAlign w:val="center"/>
            <w:hideMark/>
          </w:tcPr>
          <w:p w14:paraId="277C6BDB" w14:textId="77777777" w:rsidR="007377DB" w:rsidRPr="007377DB" w:rsidRDefault="007377DB" w:rsidP="007377DB">
            <w:pPr>
              <w:jc w:val="right"/>
              <w:rPr>
                <w:rFonts w:ascii="Calibri" w:hAnsi="Calibri"/>
                <w:sz w:val="20"/>
                <w:szCs w:val="20"/>
              </w:rPr>
            </w:pPr>
            <w:r w:rsidRPr="007377DB">
              <w:rPr>
                <w:rFonts w:ascii="Calibri" w:hAnsi="Calibri"/>
                <w:sz w:val="20"/>
                <w:szCs w:val="20"/>
              </w:rPr>
              <w:t>75.000,00</w:t>
            </w:r>
          </w:p>
        </w:tc>
        <w:tc>
          <w:tcPr>
            <w:tcW w:w="1406" w:type="dxa"/>
            <w:tcBorders>
              <w:top w:val="nil"/>
              <w:left w:val="nil"/>
              <w:bottom w:val="single" w:sz="4" w:space="0" w:color="auto"/>
              <w:right w:val="single" w:sz="4" w:space="0" w:color="auto"/>
            </w:tcBorders>
            <w:shd w:val="clear" w:color="auto" w:fill="auto"/>
            <w:noWrap/>
            <w:vAlign w:val="center"/>
            <w:hideMark/>
          </w:tcPr>
          <w:p w14:paraId="6B427BEF" w14:textId="77777777" w:rsidR="007377DB" w:rsidRPr="007377DB" w:rsidRDefault="007377DB" w:rsidP="007377DB">
            <w:pPr>
              <w:jc w:val="right"/>
              <w:rPr>
                <w:rFonts w:ascii="Calibri" w:hAnsi="Calibri"/>
                <w:sz w:val="20"/>
                <w:szCs w:val="20"/>
              </w:rPr>
            </w:pPr>
            <w:r w:rsidRPr="007377DB">
              <w:rPr>
                <w:rFonts w:ascii="Calibri" w:hAnsi="Calibri"/>
                <w:sz w:val="20"/>
                <w:szCs w:val="20"/>
              </w:rPr>
              <w:t>19.206,16</w:t>
            </w:r>
          </w:p>
        </w:tc>
        <w:tc>
          <w:tcPr>
            <w:tcW w:w="1134" w:type="dxa"/>
            <w:tcBorders>
              <w:top w:val="nil"/>
              <w:left w:val="nil"/>
              <w:bottom w:val="single" w:sz="4" w:space="0" w:color="auto"/>
              <w:right w:val="single" w:sz="4" w:space="0" w:color="auto"/>
            </w:tcBorders>
            <w:shd w:val="clear" w:color="auto" w:fill="auto"/>
            <w:noWrap/>
            <w:vAlign w:val="center"/>
            <w:hideMark/>
          </w:tcPr>
          <w:p w14:paraId="709975AF" w14:textId="77777777" w:rsidR="007377DB" w:rsidRPr="007377DB" w:rsidRDefault="007377DB" w:rsidP="007377DB">
            <w:pPr>
              <w:jc w:val="right"/>
              <w:rPr>
                <w:rFonts w:ascii="Calibri" w:hAnsi="Calibri"/>
                <w:sz w:val="20"/>
                <w:szCs w:val="20"/>
              </w:rPr>
            </w:pPr>
            <w:r w:rsidRPr="007377DB">
              <w:rPr>
                <w:rFonts w:ascii="Calibri" w:hAnsi="Calibri"/>
                <w:sz w:val="20"/>
                <w:szCs w:val="20"/>
              </w:rPr>
              <w:t>25,61</w:t>
            </w:r>
          </w:p>
        </w:tc>
        <w:tc>
          <w:tcPr>
            <w:tcW w:w="1134" w:type="dxa"/>
            <w:tcBorders>
              <w:top w:val="nil"/>
              <w:left w:val="nil"/>
              <w:bottom w:val="single" w:sz="4" w:space="0" w:color="auto"/>
              <w:right w:val="single" w:sz="4" w:space="0" w:color="auto"/>
            </w:tcBorders>
            <w:shd w:val="clear" w:color="auto" w:fill="auto"/>
            <w:vAlign w:val="center"/>
            <w:hideMark/>
          </w:tcPr>
          <w:p w14:paraId="4A44B023" w14:textId="77777777" w:rsidR="007377DB" w:rsidRPr="007377DB" w:rsidRDefault="007377DB" w:rsidP="007377DB">
            <w:pPr>
              <w:jc w:val="right"/>
              <w:rPr>
                <w:rFonts w:ascii="Calibri" w:hAnsi="Calibri"/>
                <w:sz w:val="20"/>
                <w:szCs w:val="20"/>
              </w:rPr>
            </w:pPr>
            <w:r w:rsidRPr="007377DB">
              <w:rPr>
                <w:rFonts w:ascii="Calibri" w:hAnsi="Calibri"/>
                <w:sz w:val="20"/>
                <w:szCs w:val="20"/>
              </w:rPr>
              <w:t>1,50%</w:t>
            </w:r>
          </w:p>
        </w:tc>
      </w:tr>
      <w:tr w:rsidR="007377DB" w:rsidRPr="007377DB" w14:paraId="45660E15"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761D4183" w14:textId="77777777" w:rsidR="007377DB" w:rsidRPr="007377DB" w:rsidRDefault="007377DB" w:rsidP="007377DB">
            <w:pPr>
              <w:jc w:val="left"/>
              <w:rPr>
                <w:rFonts w:ascii="Calibri" w:hAnsi="Calibri"/>
                <w:color w:val="auto"/>
                <w:sz w:val="20"/>
                <w:szCs w:val="20"/>
              </w:rPr>
            </w:pPr>
            <w:r w:rsidRPr="007377DB">
              <w:rPr>
                <w:rFonts w:ascii="Calibri" w:hAnsi="Calibri"/>
                <w:color w:val="auto"/>
                <w:sz w:val="20"/>
                <w:szCs w:val="20"/>
              </w:rPr>
              <w:t>Prihodi od kamata po osnovu oročenih depozita</w:t>
            </w:r>
          </w:p>
        </w:tc>
        <w:tc>
          <w:tcPr>
            <w:tcW w:w="1287" w:type="dxa"/>
            <w:tcBorders>
              <w:top w:val="nil"/>
              <w:left w:val="nil"/>
              <w:bottom w:val="single" w:sz="4" w:space="0" w:color="auto"/>
              <w:right w:val="single" w:sz="4" w:space="0" w:color="auto"/>
            </w:tcBorders>
            <w:shd w:val="clear" w:color="auto" w:fill="auto"/>
            <w:noWrap/>
            <w:vAlign w:val="center"/>
            <w:hideMark/>
          </w:tcPr>
          <w:p w14:paraId="5B674695" w14:textId="77777777" w:rsidR="007377DB" w:rsidRPr="007377DB" w:rsidRDefault="007377DB" w:rsidP="007377DB">
            <w:pPr>
              <w:jc w:val="right"/>
              <w:rPr>
                <w:rFonts w:ascii="Calibri" w:hAnsi="Calibri"/>
                <w:sz w:val="20"/>
                <w:szCs w:val="20"/>
              </w:rPr>
            </w:pPr>
            <w:r w:rsidRPr="007377DB">
              <w:rPr>
                <w:rFonts w:ascii="Calibri" w:hAnsi="Calibri"/>
                <w:sz w:val="20"/>
                <w:szCs w:val="20"/>
              </w:rPr>
              <w:t>3.000,00</w:t>
            </w:r>
          </w:p>
        </w:tc>
        <w:tc>
          <w:tcPr>
            <w:tcW w:w="1406" w:type="dxa"/>
            <w:tcBorders>
              <w:top w:val="nil"/>
              <w:left w:val="nil"/>
              <w:bottom w:val="single" w:sz="4" w:space="0" w:color="auto"/>
              <w:right w:val="single" w:sz="4" w:space="0" w:color="auto"/>
            </w:tcBorders>
            <w:shd w:val="clear" w:color="auto" w:fill="auto"/>
            <w:noWrap/>
            <w:vAlign w:val="center"/>
            <w:hideMark/>
          </w:tcPr>
          <w:p w14:paraId="240BB60C" w14:textId="77777777" w:rsidR="007377DB" w:rsidRPr="007377DB" w:rsidRDefault="007377DB" w:rsidP="007377DB">
            <w:pPr>
              <w:jc w:val="right"/>
              <w:rPr>
                <w:rFonts w:ascii="Calibri" w:hAnsi="Calibri"/>
                <w:sz w:val="20"/>
                <w:szCs w:val="20"/>
              </w:rPr>
            </w:pPr>
            <w:r w:rsidRPr="007377DB">
              <w:rPr>
                <w:rFonts w:ascii="Calibri" w:hAnsi="Calibri"/>
                <w:sz w:val="20"/>
                <w:szCs w:val="20"/>
              </w:rPr>
              <w:t>4.073,62</w:t>
            </w:r>
          </w:p>
        </w:tc>
        <w:tc>
          <w:tcPr>
            <w:tcW w:w="1134" w:type="dxa"/>
            <w:tcBorders>
              <w:top w:val="nil"/>
              <w:left w:val="nil"/>
              <w:bottom w:val="single" w:sz="4" w:space="0" w:color="auto"/>
              <w:right w:val="single" w:sz="4" w:space="0" w:color="auto"/>
            </w:tcBorders>
            <w:shd w:val="clear" w:color="auto" w:fill="auto"/>
            <w:noWrap/>
            <w:vAlign w:val="center"/>
            <w:hideMark/>
          </w:tcPr>
          <w:p w14:paraId="70539DC2" w14:textId="77777777" w:rsidR="007377DB" w:rsidRPr="007377DB" w:rsidRDefault="007377DB" w:rsidP="007377DB">
            <w:pPr>
              <w:jc w:val="right"/>
              <w:rPr>
                <w:rFonts w:ascii="Calibri" w:hAnsi="Calibri"/>
                <w:sz w:val="20"/>
                <w:szCs w:val="20"/>
              </w:rPr>
            </w:pPr>
            <w:r w:rsidRPr="007377DB">
              <w:rPr>
                <w:rFonts w:ascii="Calibri" w:hAnsi="Calibri"/>
                <w:sz w:val="20"/>
                <w:szCs w:val="20"/>
              </w:rPr>
              <w:t>135,79</w:t>
            </w:r>
          </w:p>
        </w:tc>
        <w:tc>
          <w:tcPr>
            <w:tcW w:w="1134" w:type="dxa"/>
            <w:tcBorders>
              <w:top w:val="nil"/>
              <w:left w:val="nil"/>
              <w:bottom w:val="single" w:sz="4" w:space="0" w:color="auto"/>
              <w:right w:val="single" w:sz="4" w:space="0" w:color="auto"/>
            </w:tcBorders>
            <w:shd w:val="clear" w:color="auto" w:fill="auto"/>
            <w:vAlign w:val="center"/>
            <w:hideMark/>
          </w:tcPr>
          <w:p w14:paraId="52D80C8B" w14:textId="77777777" w:rsidR="007377DB" w:rsidRPr="007377DB" w:rsidRDefault="007377DB" w:rsidP="007377DB">
            <w:pPr>
              <w:jc w:val="right"/>
              <w:rPr>
                <w:rFonts w:ascii="Calibri" w:hAnsi="Calibri"/>
                <w:sz w:val="20"/>
                <w:szCs w:val="20"/>
              </w:rPr>
            </w:pPr>
            <w:r w:rsidRPr="007377DB">
              <w:rPr>
                <w:rFonts w:ascii="Calibri" w:hAnsi="Calibri"/>
                <w:sz w:val="20"/>
                <w:szCs w:val="20"/>
              </w:rPr>
              <w:t>0,32%</w:t>
            </w:r>
          </w:p>
        </w:tc>
      </w:tr>
      <w:tr w:rsidR="007377DB" w:rsidRPr="007377DB" w14:paraId="4F37C292"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77371072" w14:textId="77777777" w:rsidR="007377DB" w:rsidRPr="007377DB" w:rsidRDefault="007377DB" w:rsidP="007377DB">
            <w:pPr>
              <w:jc w:val="left"/>
              <w:rPr>
                <w:rFonts w:ascii="Calibri" w:hAnsi="Calibri"/>
                <w:color w:val="auto"/>
                <w:sz w:val="20"/>
                <w:szCs w:val="20"/>
              </w:rPr>
            </w:pPr>
            <w:r w:rsidRPr="007377DB">
              <w:rPr>
                <w:rFonts w:ascii="Calibri" w:hAnsi="Calibri"/>
                <w:color w:val="auto"/>
                <w:sz w:val="20"/>
                <w:szCs w:val="20"/>
              </w:rPr>
              <w:t>Prihod od dužničkih HOV</w:t>
            </w:r>
          </w:p>
        </w:tc>
        <w:tc>
          <w:tcPr>
            <w:tcW w:w="1287" w:type="dxa"/>
            <w:tcBorders>
              <w:top w:val="nil"/>
              <w:left w:val="nil"/>
              <w:bottom w:val="single" w:sz="4" w:space="0" w:color="auto"/>
              <w:right w:val="single" w:sz="4" w:space="0" w:color="auto"/>
            </w:tcBorders>
            <w:shd w:val="clear" w:color="auto" w:fill="auto"/>
            <w:noWrap/>
            <w:vAlign w:val="center"/>
            <w:hideMark/>
          </w:tcPr>
          <w:p w14:paraId="167ED6EF" w14:textId="77777777" w:rsidR="007377DB" w:rsidRPr="007377DB" w:rsidRDefault="007377DB" w:rsidP="007377DB">
            <w:pPr>
              <w:jc w:val="right"/>
              <w:rPr>
                <w:rFonts w:ascii="Calibri" w:hAnsi="Calibri"/>
                <w:sz w:val="20"/>
                <w:szCs w:val="20"/>
              </w:rPr>
            </w:pPr>
            <w:r w:rsidRPr="007377DB">
              <w:rPr>
                <w:rFonts w:ascii="Calibri" w:hAnsi="Calibri"/>
                <w:sz w:val="20"/>
                <w:szCs w:val="20"/>
              </w:rPr>
              <w:t>600.000,00</w:t>
            </w:r>
          </w:p>
        </w:tc>
        <w:tc>
          <w:tcPr>
            <w:tcW w:w="1406" w:type="dxa"/>
            <w:tcBorders>
              <w:top w:val="nil"/>
              <w:left w:val="nil"/>
              <w:bottom w:val="single" w:sz="4" w:space="0" w:color="auto"/>
              <w:right w:val="single" w:sz="4" w:space="0" w:color="auto"/>
            </w:tcBorders>
            <w:shd w:val="clear" w:color="auto" w:fill="auto"/>
            <w:noWrap/>
            <w:vAlign w:val="center"/>
            <w:hideMark/>
          </w:tcPr>
          <w:p w14:paraId="1B08497F" w14:textId="77777777" w:rsidR="007377DB" w:rsidRPr="007377DB" w:rsidRDefault="007377DB" w:rsidP="007377DB">
            <w:pPr>
              <w:jc w:val="right"/>
              <w:rPr>
                <w:rFonts w:ascii="Calibri" w:hAnsi="Calibri"/>
                <w:sz w:val="20"/>
                <w:szCs w:val="20"/>
              </w:rPr>
            </w:pPr>
            <w:r w:rsidRPr="007377DB">
              <w:rPr>
                <w:rFonts w:ascii="Calibri" w:hAnsi="Calibri"/>
                <w:sz w:val="20"/>
                <w:szCs w:val="20"/>
              </w:rPr>
              <w:t>455.046,00</w:t>
            </w:r>
          </w:p>
        </w:tc>
        <w:tc>
          <w:tcPr>
            <w:tcW w:w="1134" w:type="dxa"/>
            <w:tcBorders>
              <w:top w:val="nil"/>
              <w:left w:val="nil"/>
              <w:bottom w:val="single" w:sz="4" w:space="0" w:color="auto"/>
              <w:right w:val="single" w:sz="4" w:space="0" w:color="auto"/>
            </w:tcBorders>
            <w:shd w:val="clear" w:color="auto" w:fill="auto"/>
            <w:noWrap/>
            <w:vAlign w:val="center"/>
            <w:hideMark/>
          </w:tcPr>
          <w:p w14:paraId="27F8493B" w14:textId="77777777" w:rsidR="007377DB" w:rsidRPr="007377DB" w:rsidRDefault="007377DB" w:rsidP="007377DB">
            <w:pPr>
              <w:jc w:val="right"/>
              <w:rPr>
                <w:rFonts w:ascii="Calibri" w:hAnsi="Calibri"/>
                <w:sz w:val="20"/>
                <w:szCs w:val="20"/>
              </w:rPr>
            </w:pPr>
            <w:r w:rsidRPr="007377DB">
              <w:rPr>
                <w:rFonts w:ascii="Calibri" w:hAnsi="Calibri"/>
                <w:sz w:val="20"/>
                <w:szCs w:val="20"/>
              </w:rPr>
              <w:t>75,84</w:t>
            </w:r>
          </w:p>
        </w:tc>
        <w:tc>
          <w:tcPr>
            <w:tcW w:w="1134" w:type="dxa"/>
            <w:tcBorders>
              <w:top w:val="nil"/>
              <w:left w:val="nil"/>
              <w:bottom w:val="single" w:sz="4" w:space="0" w:color="auto"/>
              <w:right w:val="single" w:sz="4" w:space="0" w:color="auto"/>
            </w:tcBorders>
            <w:shd w:val="clear" w:color="auto" w:fill="auto"/>
            <w:vAlign w:val="center"/>
            <w:hideMark/>
          </w:tcPr>
          <w:p w14:paraId="7B1E29D5" w14:textId="77777777" w:rsidR="007377DB" w:rsidRPr="007377DB" w:rsidRDefault="007377DB" w:rsidP="007377DB">
            <w:pPr>
              <w:jc w:val="right"/>
              <w:rPr>
                <w:rFonts w:ascii="Calibri" w:hAnsi="Calibri"/>
                <w:sz w:val="20"/>
                <w:szCs w:val="20"/>
              </w:rPr>
            </w:pPr>
            <w:r w:rsidRPr="007377DB">
              <w:rPr>
                <w:rFonts w:ascii="Calibri" w:hAnsi="Calibri"/>
                <w:sz w:val="20"/>
                <w:szCs w:val="20"/>
              </w:rPr>
              <w:t>35,65%</w:t>
            </w:r>
          </w:p>
        </w:tc>
      </w:tr>
      <w:tr w:rsidR="007377DB" w:rsidRPr="007377DB" w14:paraId="730019E9"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29302DFD" w14:textId="7769CA06" w:rsidR="007377DB" w:rsidRPr="007377DB" w:rsidRDefault="001B7A30" w:rsidP="007377DB">
            <w:pPr>
              <w:rPr>
                <w:rFonts w:ascii="Calibri" w:hAnsi="Calibri"/>
                <w:b/>
                <w:bCs/>
                <w:sz w:val="20"/>
                <w:szCs w:val="20"/>
              </w:rPr>
            </w:pPr>
            <w:r>
              <w:rPr>
                <w:rFonts w:ascii="Calibri" w:hAnsi="Calibri"/>
                <w:b/>
                <w:bCs/>
                <w:sz w:val="20"/>
                <w:szCs w:val="20"/>
              </w:rPr>
              <w:t>P</w:t>
            </w:r>
            <w:r w:rsidR="007377DB" w:rsidRPr="007377DB">
              <w:rPr>
                <w:rFonts w:ascii="Calibri" w:hAnsi="Calibri"/>
                <w:b/>
                <w:bCs/>
                <w:sz w:val="20"/>
                <w:szCs w:val="20"/>
              </w:rPr>
              <w:t>rihodi</w:t>
            </w:r>
            <w:r>
              <w:rPr>
                <w:rFonts w:ascii="Calibri" w:hAnsi="Calibri"/>
                <w:b/>
                <w:bCs/>
                <w:sz w:val="20"/>
                <w:szCs w:val="20"/>
              </w:rPr>
              <w:t xml:space="preserve"> od premija</w:t>
            </w:r>
            <w:r w:rsidR="007377DB" w:rsidRPr="007377DB">
              <w:rPr>
                <w:rFonts w:ascii="Calibri" w:hAnsi="Calibri"/>
                <w:b/>
                <w:bCs/>
                <w:sz w:val="20"/>
                <w:szCs w:val="20"/>
              </w:rPr>
              <w:t xml:space="preserve"> i provizij</w:t>
            </w:r>
            <w:r>
              <w:rPr>
                <w:rFonts w:ascii="Calibri" w:hAnsi="Calibri"/>
                <w:b/>
                <w:bCs/>
                <w:sz w:val="20"/>
                <w:szCs w:val="20"/>
              </w:rPr>
              <w:t>a</w:t>
            </w:r>
          </w:p>
        </w:tc>
        <w:tc>
          <w:tcPr>
            <w:tcW w:w="1287" w:type="dxa"/>
            <w:tcBorders>
              <w:top w:val="nil"/>
              <w:left w:val="nil"/>
              <w:bottom w:val="single" w:sz="4" w:space="0" w:color="auto"/>
              <w:right w:val="single" w:sz="4" w:space="0" w:color="auto"/>
            </w:tcBorders>
            <w:shd w:val="clear" w:color="auto" w:fill="auto"/>
            <w:noWrap/>
            <w:vAlign w:val="center"/>
            <w:hideMark/>
          </w:tcPr>
          <w:p w14:paraId="3860F94F"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1.025.000,00</w:t>
            </w:r>
          </w:p>
        </w:tc>
        <w:tc>
          <w:tcPr>
            <w:tcW w:w="1406" w:type="dxa"/>
            <w:tcBorders>
              <w:top w:val="nil"/>
              <w:left w:val="nil"/>
              <w:bottom w:val="single" w:sz="4" w:space="0" w:color="auto"/>
              <w:right w:val="single" w:sz="4" w:space="0" w:color="auto"/>
            </w:tcBorders>
            <w:shd w:val="clear" w:color="auto" w:fill="auto"/>
            <w:noWrap/>
            <w:vAlign w:val="center"/>
            <w:hideMark/>
          </w:tcPr>
          <w:p w14:paraId="7B492097"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621.123,05</w:t>
            </w:r>
          </w:p>
        </w:tc>
        <w:tc>
          <w:tcPr>
            <w:tcW w:w="1134" w:type="dxa"/>
            <w:tcBorders>
              <w:top w:val="nil"/>
              <w:left w:val="nil"/>
              <w:bottom w:val="single" w:sz="4" w:space="0" w:color="auto"/>
              <w:right w:val="single" w:sz="4" w:space="0" w:color="auto"/>
            </w:tcBorders>
            <w:shd w:val="clear" w:color="auto" w:fill="auto"/>
            <w:noWrap/>
            <w:vAlign w:val="center"/>
            <w:hideMark/>
          </w:tcPr>
          <w:p w14:paraId="3F743957"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60,60</w:t>
            </w:r>
          </w:p>
        </w:tc>
        <w:tc>
          <w:tcPr>
            <w:tcW w:w="1134" w:type="dxa"/>
            <w:tcBorders>
              <w:top w:val="nil"/>
              <w:left w:val="nil"/>
              <w:bottom w:val="single" w:sz="4" w:space="0" w:color="auto"/>
              <w:right w:val="single" w:sz="4" w:space="0" w:color="auto"/>
            </w:tcBorders>
            <w:shd w:val="clear" w:color="auto" w:fill="auto"/>
            <w:vAlign w:val="center"/>
            <w:hideMark/>
          </w:tcPr>
          <w:p w14:paraId="68C89B71"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48,66%</w:t>
            </w:r>
          </w:p>
        </w:tc>
      </w:tr>
      <w:tr w:rsidR="007377DB" w:rsidRPr="007377DB" w14:paraId="1583B934"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65EEF402" w14:textId="77777777" w:rsidR="007377DB" w:rsidRPr="007377DB" w:rsidRDefault="007377DB" w:rsidP="007377DB">
            <w:pPr>
              <w:rPr>
                <w:rFonts w:ascii="Calibri" w:hAnsi="Calibri"/>
                <w:sz w:val="20"/>
                <w:szCs w:val="20"/>
              </w:rPr>
            </w:pPr>
            <w:r w:rsidRPr="007377DB">
              <w:rPr>
                <w:rFonts w:ascii="Calibri" w:hAnsi="Calibri"/>
                <w:sz w:val="20"/>
                <w:szCs w:val="20"/>
              </w:rPr>
              <w:t>Prihodi od premija za redovne garancija</w:t>
            </w:r>
          </w:p>
        </w:tc>
        <w:tc>
          <w:tcPr>
            <w:tcW w:w="1287" w:type="dxa"/>
            <w:tcBorders>
              <w:top w:val="nil"/>
              <w:left w:val="nil"/>
              <w:bottom w:val="single" w:sz="4" w:space="0" w:color="auto"/>
              <w:right w:val="single" w:sz="4" w:space="0" w:color="auto"/>
            </w:tcBorders>
            <w:shd w:val="clear" w:color="auto" w:fill="auto"/>
            <w:noWrap/>
            <w:vAlign w:val="center"/>
            <w:hideMark/>
          </w:tcPr>
          <w:p w14:paraId="1B13CE04" w14:textId="77777777" w:rsidR="007377DB" w:rsidRPr="007377DB" w:rsidRDefault="007377DB" w:rsidP="007377DB">
            <w:pPr>
              <w:jc w:val="right"/>
              <w:rPr>
                <w:rFonts w:ascii="Calibri" w:hAnsi="Calibri"/>
                <w:sz w:val="20"/>
                <w:szCs w:val="20"/>
              </w:rPr>
            </w:pPr>
            <w:r w:rsidRPr="007377DB">
              <w:rPr>
                <w:rFonts w:ascii="Calibri" w:hAnsi="Calibri"/>
                <w:sz w:val="20"/>
                <w:szCs w:val="20"/>
              </w:rPr>
              <w:t>700.000,00</w:t>
            </w:r>
          </w:p>
        </w:tc>
        <w:tc>
          <w:tcPr>
            <w:tcW w:w="1406" w:type="dxa"/>
            <w:tcBorders>
              <w:top w:val="nil"/>
              <w:left w:val="nil"/>
              <w:bottom w:val="single" w:sz="4" w:space="0" w:color="auto"/>
              <w:right w:val="single" w:sz="4" w:space="0" w:color="auto"/>
            </w:tcBorders>
            <w:shd w:val="clear" w:color="auto" w:fill="auto"/>
            <w:noWrap/>
            <w:vAlign w:val="center"/>
            <w:hideMark/>
          </w:tcPr>
          <w:p w14:paraId="61D32866" w14:textId="77777777" w:rsidR="007377DB" w:rsidRPr="007377DB" w:rsidRDefault="007377DB" w:rsidP="007377DB">
            <w:pPr>
              <w:jc w:val="right"/>
              <w:rPr>
                <w:rFonts w:ascii="Calibri" w:hAnsi="Calibri"/>
                <w:sz w:val="20"/>
                <w:szCs w:val="20"/>
              </w:rPr>
            </w:pPr>
            <w:r w:rsidRPr="007377DB">
              <w:rPr>
                <w:rFonts w:ascii="Calibri" w:hAnsi="Calibri"/>
                <w:sz w:val="20"/>
                <w:szCs w:val="20"/>
              </w:rPr>
              <w:t>405.611,10</w:t>
            </w:r>
          </w:p>
        </w:tc>
        <w:tc>
          <w:tcPr>
            <w:tcW w:w="1134" w:type="dxa"/>
            <w:tcBorders>
              <w:top w:val="nil"/>
              <w:left w:val="nil"/>
              <w:bottom w:val="single" w:sz="4" w:space="0" w:color="auto"/>
              <w:right w:val="single" w:sz="4" w:space="0" w:color="auto"/>
            </w:tcBorders>
            <w:shd w:val="clear" w:color="auto" w:fill="auto"/>
            <w:noWrap/>
            <w:vAlign w:val="center"/>
            <w:hideMark/>
          </w:tcPr>
          <w:p w14:paraId="7CC1ACB0" w14:textId="77777777" w:rsidR="007377DB" w:rsidRPr="007377DB" w:rsidRDefault="007377DB" w:rsidP="007377DB">
            <w:pPr>
              <w:jc w:val="right"/>
              <w:rPr>
                <w:rFonts w:ascii="Calibri" w:hAnsi="Calibri"/>
                <w:sz w:val="20"/>
                <w:szCs w:val="20"/>
              </w:rPr>
            </w:pPr>
            <w:r w:rsidRPr="007377DB">
              <w:rPr>
                <w:rFonts w:ascii="Calibri" w:hAnsi="Calibri"/>
                <w:sz w:val="20"/>
                <w:szCs w:val="20"/>
              </w:rPr>
              <w:t>57,94</w:t>
            </w:r>
          </w:p>
        </w:tc>
        <w:tc>
          <w:tcPr>
            <w:tcW w:w="1134" w:type="dxa"/>
            <w:tcBorders>
              <w:top w:val="nil"/>
              <w:left w:val="nil"/>
              <w:bottom w:val="single" w:sz="4" w:space="0" w:color="auto"/>
              <w:right w:val="single" w:sz="4" w:space="0" w:color="auto"/>
            </w:tcBorders>
            <w:shd w:val="clear" w:color="auto" w:fill="auto"/>
            <w:vAlign w:val="center"/>
            <w:hideMark/>
          </w:tcPr>
          <w:p w14:paraId="2D0AE1C3" w14:textId="77777777" w:rsidR="007377DB" w:rsidRPr="007377DB" w:rsidRDefault="007377DB" w:rsidP="007377DB">
            <w:pPr>
              <w:jc w:val="right"/>
              <w:rPr>
                <w:rFonts w:ascii="Calibri" w:hAnsi="Calibri"/>
                <w:sz w:val="20"/>
                <w:szCs w:val="20"/>
              </w:rPr>
            </w:pPr>
            <w:r w:rsidRPr="007377DB">
              <w:rPr>
                <w:rFonts w:ascii="Calibri" w:hAnsi="Calibri"/>
                <w:sz w:val="20"/>
                <w:szCs w:val="20"/>
              </w:rPr>
              <w:t>31,78%</w:t>
            </w:r>
          </w:p>
        </w:tc>
      </w:tr>
      <w:tr w:rsidR="007377DB" w:rsidRPr="007377DB" w14:paraId="32D0D21B"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7964BEAD" w14:textId="3E19C408" w:rsidR="007377DB" w:rsidRPr="007377DB" w:rsidRDefault="007377DB" w:rsidP="007377DB">
            <w:pPr>
              <w:jc w:val="left"/>
              <w:rPr>
                <w:rFonts w:ascii="Calibri" w:hAnsi="Calibri"/>
                <w:sz w:val="20"/>
                <w:szCs w:val="20"/>
              </w:rPr>
            </w:pPr>
            <w:r w:rsidRPr="007377DB">
              <w:rPr>
                <w:rFonts w:ascii="Calibri" w:hAnsi="Calibri"/>
                <w:sz w:val="20"/>
                <w:szCs w:val="20"/>
              </w:rPr>
              <w:t>Prihodi od premija</w:t>
            </w:r>
            <w:r w:rsidR="001B7A30">
              <w:rPr>
                <w:rFonts w:ascii="Calibri" w:hAnsi="Calibri"/>
                <w:sz w:val="20"/>
                <w:szCs w:val="20"/>
              </w:rPr>
              <w:t xml:space="preserve"> </w:t>
            </w:r>
            <w:r w:rsidRPr="007377DB">
              <w:rPr>
                <w:rFonts w:ascii="Calibri" w:hAnsi="Calibri"/>
                <w:sz w:val="20"/>
                <w:szCs w:val="20"/>
              </w:rPr>
              <w:t xml:space="preserve"> </w:t>
            </w:r>
            <w:r w:rsidR="003953F5">
              <w:rPr>
                <w:rFonts w:ascii="Calibri" w:hAnsi="Calibri"/>
                <w:sz w:val="20"/>
                <w:szCs w:val="20"/>
              </w:rPr>
              <w:t>za kreditni portfelj</w:t>
            </w:r>
          </w:p>
        </w:tc>
        <w:tc>
          <w:tcPr>
            <w:tcW w:w="1287" w:type="dxa"/>
            <w:tcBorders>
              <w:top w:val="nil"/>
              <w:left w:val="nil"/>
              <w:bottom w:val="single" w:sz="4" w:space="0" w:color="auto"/>
              <w:right w:val="single" w:sz="4" w:space="0" w:color="auto"/>
            </w:tcBorders>
            <w:shd w:val="clear" w:color="auto" w:fill="auto"/>
            <w:noWrap/>
            <w:vAlign w:val="center"/>
            <w:hideMark/>
          </w:tcPr>
          <w:p w14:paraId="28F3FB4B" w14:textId="77777777" w:rsidR="007377DB" w:rsidRPr="007377DB" w:rsidRDefault="007377DB" w:rsidP="007377DB">
            <w:pPr>
              <w:jc w:val="right"/>
              <w:rPr>
                <w:rFonts w:ascii="Calibri" w:hAnsi="Calibri"/>
                <w:sz w:val="20"/>
                <w:szCs w:val="20"/>
              </w:rPr>
            </w:pPr>
            <w:r w:rsidRPr="007377DB">
              <w:rPr>
                <w:rFonts w:ascii="Calibri" w:hAnsi="Calibri"/>
                <w:sz w:val="20"/>
                <w:szCs w:val="20"/>
              </w:rPr>
              <w:t>150.000,00</w:t>
            </w:r>
          </w:p>
        </w:tc>
        <w:tc>
          <w:tcPr>
            <w:tcW w:w="1406" w:type="dxa"/>
            <w:tcBorders>
              <w:top w:val="nil"/>
              <w:left w:val="nil"/>
              <w:bottom w:val="single" w:sz="4" w:space="0" w:color="auto"/>
              <w:right w:val="single" w:sz="4" w:space="0" w:color="auto"/>
            </w:tcBorders>
            <w:shd w:val="clear" w:color="auto" w:fill="auto"/>
            <w:noWrap/>
            <w:vAlign w:val="center"/>
            <w:hideMark/>
          </w:tcPr>
          <w:p w14:paraId="32FC3D3F" w14:textId="77777777" w:rsidR="007377DB" w:rsidRPr="007377DB" w:rsidRDefault="007377DB" w:rsidP="007377DB">
            <w:pPr>
              <w:jc w:val="right"/>
              <w:rPr>
                <w:rFonts w:ascii="Calibri" w:hAnsi="Calibri"/>
                <w:sz w:val="20"/>
                <w:szCs w:val="20"/>
              </w:rPr>
            </w:pPr>
            <w:r w:rsidRPr="007377DB">
              <w:rPr>
                <w:rFonts w:ascii="Calibri" w:hAnsi="Calibri"/>
                <w:sz w:val="20"/>
                <w:szCs w:val="20"/>
              </w:rPr>
              <w:t>134.071,92</w:t>
            </w:r>
          </w:p>
        </w:tc>
        <w:tc>
          <w:tcPr>
            <w:tcW w:w="1134" w:type="dxa"/>
            <w:tcBorders>
              <w:top w:val="nil"/>
              <w:left w:val="nil"/>
              <w:bottom w:val="single" w:sz="4" w:space="0" w:color="auto"/>
              <w:right w:val="single" w:sz="4" w:space="0" w:color="auto"/>
            </w:tcBorders>
            <w:shd w:val="clear" w:color="auto" w:fill="auto"/>
            <w:noWrap/>
            <w:vAlign w:val="center"/>
            <w:hideMark/>
          </w:tcPr>
          <w:p w14:paraId="11C65AED" w14:textId="77777777" w:rsidR="007377DB" w:rsidRPr="007377DB" w:rsidRDefault="007377DB" w:rsidP="007377DB">
            <w:pPr>
              <w:jc w:val="right"/>
              <w:rPr>
                <w:rFonts w:ascii="Calibri" w:hAnsi="Calibri"/>
                <w:sz w:val="20"/>
                <w:szCs w:val="20"/>
              </w:rPr>
            </w:pPr>
            <w:r w:rsidRPr="007377DB">
              <w:rPr>
                <w:rFonts w:ascii="Calibri" w:hAnsi="Calibri"/>
                <w:sz w:val="20"/>
                <w:szCs w:val="20"/>
              </w:rPr>
              <w:t>89,38</w:t>
            </w:r>
          </w:p>
        </w:tc>
        <w:tc>
          <w:tcPr>
            <w:tcW w:w="1134" w:type="dxa"/>
            <w:tcBorders>
              <w:top w:val="nil"/>
              <w:left w:val="nil"/>
              <w:bottom w:val="single" w:sz="4" w:space="0" w:color="auto"/>
              <w:right w:val="single" w:sz="4" w:space="0" w:color="auto"/>
            </w:tcBorders>
            <w:shd w:val="clear" w:color="auto" w:fill="auto"/>
            <w:vAlign w:val="center"/>
            <w:hideMark/>
          </w:tcPr>
          <w:p w14:paraId="019B030E" w14:textId="77777777" w:rsidR="007377DB" w:rsidRPr="007377DB" w:rsidRDefault="007377DB" w:rsidP="007377DB">
            <w:pPr>
              <w:jc w:val="right"/>
              <w:rPr>
                <w:rFonts w:ascii="Calibri" w:hAnsi="Calibri"/>
                <w:sz w:val="20"/>
                <w:szCs w:val="20"/>
              </w:rPr>
            </w:pPr>
            <w:r w:rsidRPr="007377DB">
              <w:rPr>
                <w:rFonts w:ascii="Calibri" w:hAnsi="Calibri"/>
                <w:sz w:val="20"/>
                <w:szCs w:val="20"/>
              </w:rPr>
              <w:t>10,50%</w:t>
            </w:r>
          </w:p>
        </w:tc>
      </w:tr>
      <w:tr w:rsidR="007377DB" w:rsidRPr="007377DB" w14:paraId="487B1086"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10191B1F" w14:textId="77777777" w:rsidR="007377DB" w:rsidRPr="007377DB" w:rsidRDefault="007377DB" w:rsidP="007377DB">
            <w:pPr>
              <w:jc w:val="left"/>
              <w:rPr>
                <w:rFonts w:ascii="Calibri" w:hAnsi="Calibri"/>
                <w:sz w:val="20"/>
                <w:szCs w:val="20"/>
              </w:rPr>
            </w:pPr>
            <w:r w:rsidRPr="007377DB">
              <w:rPr>
                <w:rFonts w:ascii="Calibri" w:hAnsi="Calibri"/>
                <w:sz w:val="20"/>
                <w:szCs w:val="20"/>
              </w:rPr>
              <w:t>Prihodi od provizija za redovne garancije</w:t>
            </w:r>
          </w:p>
        </w:tc>
        <w:tc>
          <w:tcPr>
            <w:tcW w:w="1287" w:type="dxa"/>
            <w:tcBorders>
              <w:top w:val="nil"/>
              <w:left w:val="nil"/>
              <w:bottom w:val="single" w:sz="4" w:space="0" w:color="auto"/>
              <w:right w:val="single" w:sz="4" w:space="0" w:color="auto"/>
            </w:tcBorders>
            <w:shd w:val="clear" w:color="auto" w:fill="auto"/>
            <w:noWrap/>
            <w:vAlign w:val="center"/>
            <w:hideMark/>
          </w:tcPr>
          <w:p w14:paraId="2E3233EA" w14:textId="77777777" w:rsidR="007377DB" w:rsidRPr="007377DB" w:rsidRDefault="007377DB" w:rsidP="007377DB">
            <w:pPr>
              <w:jc w:val="right"/>
              <w:rPr>
                <w:rFonts w:ascii="Calibri" w:hAnsi="Calibri"/>
                <w:sz w:val="20"/>
                <w:szCs w:val="20"/>
              </w:rPr>
            </w:pPr>
            <w:r w:rsidRPr="007377DB">
              <w:rPr>
                <w:rFonts w:ascii="Calibri" w:hAnsi="Calibri"/>
                <w:sz w:val="20"/>
                <w:szCs w:val="20"/>
              </w:rPr>
              <w:t>60.000,00</w:t>
            </w:r>
          </w:p>
        </w:tc>
        <w:tc>
          <w:tcPr>
            <w:tcW w:w="1406" w:type="dxa"/>
            <w:tcBorders>
              <w:top w:val="nil"/>
              <w:left w:val="nil"/>
              <w:bottom w:val="single" w:sz="4" w:space="0" w:color="auto"/>
              <w:right w:val="single" w:sz="4" w:space="0" w:color="auto"/>
            </w:tcBorders>
            <w:shd w:val="clear" w:color="auto" w:fill="auto"/>
            <w:noWrap/>
            <w:vAlign w:val="center"/>
            <w:hideMark/>
          </w:tcPr>
          <w:p w14:paraId="56FE6A51" w14:textId="77777777" w:rsidR="007377DB" w:rsidRPr="007377DB" w:rsidRDefault="007377DB" w:rsidP="007377DB">
            <w:pPr>
              <w:jc w:val="right"/>
              <w:rPr>
                <w:rFonts w:ascii="Calibri" w:hAnsi="Calibri"/>
                <w:sz w:val="20"/>
                <w:szCs w:val="20"/>
              </w:rPr>
            </w:pPr>
            <w:r w:rsidRPr="007377DB">
              <w:rPr>
                <w:rFonts w:ascii="Calibri" w:hAnsi="Calibri"/>
                <w:sz w:val="20"/>
                <w:szCs w:val="20"/>
              </w:rPr>
              <w:t>67.757,65</w:t>
            </w:r>
          </w:p>
        </w:tc>
        <w:tc>
          <w:tcPr>
            <w:tcW w:w="1134" w:type="dxa"/>
            <w:tcBorders>
              <w:top w:val="nil"/>
              <w:left w:val="nil"/>
              <w:bottom w:val="single" w:sz="4" w:space="0" w:color="auto"/>
              <w:right w:val="single" w:sz="4" w:space="0" w:color="auto"/>
            </w:tcBorders>
            <w:shd w:val="clear" w:color="auto" w:fill="auto"/>
            <w:noWrap/>
            <w:vAlign w:val="center"/>
            <w:hideMark/>
          </w:tcPr>
          <w:p w14:paraId="7941807F" w14:textId="77777777" w:rsidR="007377DB" w:rsidRPr="007377DB" w:rsidRDefault="007377DB" w:rsidP="007377DB">
            <w:pPr>
              <w:jc w:val="right"/>
              <w:rPr>
                <w:rFonts w:ascii="Calibri" w:hAnsi="Calibri"/>
                <w:sz w:val="20"/>
                <w:szCs w:val="20"/>
              </w:rPr>
            </w:pPr>
            <w:r w:rsidRPr="007377DB">
              <w:rPr>
                <w:rFonts w:ascii="Calibri" w:hAnsi="Calibri"/>
                <w:sz w:val="20"/>
                <w:szCs w:val="20"/>
              </w:rPr>
              <w:t>112,93</w:t>
            </w:r>
          </w:p>
        </w:tc>
        <w:tc>
          <w:tcPr>
            <w:tcW w:w="1134" w:type="dxa"/>
            <w:tcBorders>
              <w:top w:val="nil"/>
              <w:left w:val="nil"/>
              <w:bottom w:val="single" w:sz="4" w:space="0" w:color="auto"/>
              <w:right w:val="single" w:sz="4" w:space="0" w:color="auto"/>
            </w:tcBorders>
            <w:shd w:val="clear" w:color="auto" w:fill="auto"/>
            <w:vAlign w:val="center"/>
            <w:hideMark/>
          </w:tcPr>
          <w:p w14:paraId="60EB9334" w14:textId="77777777" w:rsidR="007377DB" w:rsidRPr="007377DB" w:rsidRDefault="007377DB" w:rsidP="007377DB">
            <w:pPr>
              <w:jc w:val="right"/>
              <w:rPr>
                <w:rFonts w:ascii="Calibri" w:hAnsi="Calibri"/>
                <w:sz w:val="20"/>
                <w:szCs w:val="20"/>
              </w:rPr>
            </w:pPr>
            <w:r w:rsidRPr="007377DB">
              <w:rPr>
                <w:rFonts w:ascii="Calibri" w:hAnsi="Calibri"/>
                <w:sz w:val="20"/>
                <w:szCs w:val="20"/>
              </w:rPr>
              <w:t>5,31%</w:t>
            </w:r>
          </w:p>
        </w:tc>
      </w:tr>
      <w:tr w:rsidR="007377DB" w:rsidRPr="007377DB" w14:paraId="1AB62765"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3435CE54" w14:textId="26B87B36" w:rsidR="007377DB" w:rsidRPr="007377DB" w:rsidRDefault="007377DB" w:rsidP="007377DB">
            <w:pPr>
              <w:jc w:val="left"/>
              <w:rPr>
                <w:rFonts w:ascii="Calibri" w:hAnsi="Calibri"/>
                <w:sz w:val="20"/>
                <w:szCs w:val="20"/>
              </w:rPr>
            </w:pPr>
            <w:r w:rsidRPr="007377DB">
              <w:rPr>
                <w:rFonts w:ascii="Calibri" w:hAnsi="Calibri"/>
                <w:sz w:val="20"/>
                <w:szCs w:val="20"/>
              </w:rPr>
              <w:t xml:space="preserve">Prihodi </w:t>
            </w:r>
            <w:r w:rsidR="003953F5">
              <w:rPr>
                <w:rFonts w:ascii="Calibri" w:hAnsi="Calibri"/>
                <w:sz w:val="20"/>
                <w:szCs w:val="20"/>
              </w:rPr>
              <w:t xml:space="preserve">od provizija za kreditni portfelj </w:t>
            </w:r>
          </w:p>
        </w:tc>
        <w:tc>
          <w:tcPr>
            <w:tcW w:w="1287" w:type="dxa"/>
            <w:tcBorders>
              <w:top w:val="nil"/>
              <w:left w:val="nil"/>
              <w:bottom w:val="single" w:sz="4" w:space="0" w:color="auto"/>
              <w:right w:val="single" w:sz="4" w:space="0" w:color="auto"/>
            </w:tcBorders>
            <w:shd w:val="clear" w:color="auto" w:fill="auto"/>
            <w:noWrap/>
            <w:vAlign w:val="center"/>
            <w:hideMark/>
          </w:tcPr>
          <w:p w14:paraId="0F394AB4" w14:textId="77777777" w:rsidR="007377DB" w:rsidRPr="007377DB" w:rsidRDefault="007377DB" w:rsidP="007377DB">
            <w:pPr>
              <w:jc w:val="right"/>
              <w:rPr>
                <w:rFonts w:ascii="Calibri" w:hAnsi="Calibri"/>
                <w:sz w:val="20"/>
                <w:szCs w:val="20"/>
              </w:rPr>
            </w:pPr>
            <w:r w:rsidRPr="007377DB">
              <w:rPr>
                <w:rFonts w:ascii="Calibri" w:hAnsi="Calibri"/>
                <w:sz w:val="20"/>
                <w:szCs w:val="20"/>
              </w:rPr>
              <w:t>95.000,00</w:t>
            </w:r>
          </w:p>
        </w:tc>
        <w:tc>
          <w:tcPr>
            <w:tcW w:w="1406" w:type="dxa"/>
            <w:tcBorders>
              <w:top w:val="nil"/>
              <w:left w:val="nil"/>
              <w:bottom w:val="single" w:sz="4" w:space="0" w:color="auto"/>
              <w:right w:val="single" w:sz="4" w:space="0" w:color="auto"/>
            </w:tcBorders>
            <w:shd w:val="clear" w:color="auto" w:fill="auto"/>
            <w:noWrap/>
            <w:vAlign w:val="center"/>
            <w:hideMark/>
          </w:tcPr>
          <w:p w14:paraId="23F39B3B" w14:textId="77777777" w:rsidR="007377DB" w:rsidRPr="007377DB" w:rsidRDefault="007377DB" w:rsidP="007377DB">
            <w:pPr>
              <w:jc w:val="right"/>
              <w:rPr>
                <w:rFonts w:ascii="Calibri" w:hAnsi="Calibri"/>
                <w:sz w:val="20"/>
                <w:szCs w:val="20"/>
              </w:rPr>
            </w:pPr>
            <w:r w:rsidRPr="007377DB">
              <w:rPr>
                <w:rFonts w:ascii="Calibri" w:hAnsi="Calibri"/>
                <w:sz w:val="20"/>
                <w:szCs w:val="20"/>
              </w:rPr>
              <w:t>13.682,38</w:t>
            </w:r>
          </w:p>
        </w:tc>
        <w:tc>
          <w:tcPr>
            <w:tcW w:w="1134" w:type="dxa"/>
            <w:tcBorders>
              <w:top w:val="nil"/>
              <w:left w:val="nil"/>
              <w:bottom w:val="single" w:sz="4" w:space="0" w:color="auto"/>
              <w:right w:val="single" w:sz="4" w:space="0" w:color="auto"/>
            </w:tcBorders>
            <w:shd w:val="clear" w:color="auto" w:fill="auto"/>
            <w:noWrap/>
            <w:vAlign w:val="center"/>
            <w:hideMark/>
          </w:tcPr>
          <w:p w14:paraId="5396F6FB" w14:textId="77777777" w:rsidR="007377DB" w:rsidRPr="007377DB" w:rsidRDefault="007377DB" w:rsidP="007377DB">
            <w:pPr>
              <w:jc w:val="right"/>
              <w:rPr>
                <w:rFonts w:ascii="Calibri" w:hAnsi="Calibri"/>
                <w:sz w:val="20"/>
                <w:szCs w:val="20"/>
              </w:rPr>
            </w:pPr>
            <w:r w:rsidRPr="007377DB">
              <w:rPr>
                <w:rFonts w:ascii="Calibri" w:hAnsi="Calibri"/>
                <w:sz w:val="20"/>
                <w:szCs w:val="20"/>
              </w:rPr>
              <w:t>14,40</w:t>
            </w:r>
          </w:p>
        </w:tc>
        <w:tc>
          <w:tcPr>
            <w:tcW w:w="1134" w:type="dxa"/>
            <w:tcBorders>
              <w:top w:val="nil"/>
              <w:left w:val="nil"/>
              <w:bottom w:val="single" w:sz="4" w:space="0" w:color="auto"/>
              <w:right w:val="single" w:sz="4" w:space="0" w:color="auto"/>
            </w:tcBorders>
            <w:shd w:val="clear" w:color="auto" w:fill="auto"/>
            <w:vAlign w:val="center"/>
            <w:hideMark/>
          </w:tcPr>
          <w:p w14:paraId="618DDF23" w14:textId="77777777" w:rsidR="007377DB" w:rsidRPr="007377DB" w:rsidRDefault="007377DB" w:rsidP="007377DB">
            <w:pPr>
              <w:jc w:val="right"/>
              <w:rPr>
                <w:rFonts w:ascii="Calibri" w:hAnsi="Calibri"/>
                <w:sz w:val="20"/>
                <w:szCs w:val="20"/>
              </w:rPr>
            </w:pPr>
            <w:r w:rsidRPr="007377DB">
              <w:rPr>
                <w:rFonts w:ascii="Calibri" w:hAnsi="Calibri"/>
                <w:sz w:val="20"/>
                <w:szCs w:val="20"/>
              </w:rPr>
              <w:t>1,07%</w:t>
            </w:r>
          </w:p>
        </w:tc>
      </w:tr>
      <w:tr w:rsidR="007377DB" w:rsidRPr="007377DB" w14:paraId="2D93B185"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14:paraId="591213D3" w14:textId="77777777" w:rsidR="007377DB" w:rsidRPr="007377DB" w:rsidRDefault="007377DB" w:rsidP="007377DB">
            <w:pPr>
              <w:rPr>
                <w:rFonts w:ascii="Calibri" w:hAnsi="Calibri"/>
                <w:sz w:val="20"/>
                <w:szCs w:val="20"/>
              </w:rPr>
            </w:pPr>
            <w:r w:rsidRPr="007377DB">
              <w:rPr>
                <w:rFonts w:ascii="Calibri" w:hAnsi="Calibri"/>
                <w:sz w:val="20"/>
                <w:szCs w:val="20"/>
              </w:rPr>
              <w:t>Prihodi od provizija za pisma namjere</w:t>
            </w:r>
          </w:p>
        </w:tc>
        <w:tc>
          <w:tcPr>
            <w:tcW w:w="1287" w:type="dxa"/>
            <w:tcBorders>
              <w:top w:val="nil"/>
              <w:left w:val="nil"/>
              <w:bottom w:val="single" w:sz="4" w:space="0" w:color="auto"/>
              <w:right w:val="single" w:sz="4" w:space="0" w:color="auto"/>
            </w:tcBorders>
            <w:shd w:val="clear" w:color="auto" w:fill="auto"/>
            <w:noWrap/>
            <w:vAlign w:val="center"/>
            <w:hideMark/>
          </w:tcPr>
          <w:p w14:paraId="258F6018" w14:textId="77777777" w:rsidR="007377DB" w:rsidRPr="007377DB" w:rsidRDefault="007377DB" w:rsidP="007377DB">
            <w:pPr>
              <w:jc w:val="right"/>
              <w:rPr>
                <w:rFonts w:ascii="Calibri" w:hAnsi="Calibri"/>
                <w:sz w:val="20"/>
                <w:szCs w:val="20"/>
              </w:rPr>
            </w:pPr>
            <w:r w:rsidRPr="007377DB">
              <w:rPr>
                <w:rFonts w:ascii="Calibri" w:hAnsi="Calibri"/>
                <w:sz w:val="20"/>
                <w:szCs w:val="20"/>
              </w:rPr>
              <w:t>20.000,00</w:t>
            </w:r>
          </w:p>
        </w:tc>
        <w:tc>
          <w:tcPr>
            <w:tcW w:w="1406" w:type="dxa"/>
            <w:tcBorders>
              <w:top w:val="nil"/>
              <w:left w:val="nil"/>
              <w:bottom w:val="single" w:sz="4" w:space="0" w:color="auto"/>
              <w:right w:val="single" w:sz="4" w:space="0" w:color="auto"/>
            </w:tcBorders>
            <w:shd w:val="clear" w:color="auto" w:fill="auto"/>
            <w:noWrap/>
            <w:vAlign w:val="center"/>
            <w:hideMark/>
          </w:tcPr>
          <w:p w14:paraId="0866356A" w14:textId="77777777" w:rsidR="007377DB" w:rsidRPr="007377DB" w:rsidRDefault="007377DB" w:rsidP="007377DB">
            <w:pPr>
              <w:jc w:val="right"/>
              <w:rPr>
                <w:rFonts w:ascii="Calibri" w:hAnsi="Calibri"/>
                <w:sz w:val="20"/>
                <w:szCs w:val="20"/>
              </w:rPr>
            </w:pPr>
            <w:r w:rsidRPr="007377DB">
              <w:rPr>
                <w:rFonts w:ascii="Calibri" w:hAnsi="Calibri"/>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541BDBEE" w14:textId="77777777" w:rsidR="007377DB" w:rsidRPr="007377DB" w:rsidRDefault="007377DB" w:rsidP="007377DB">
            <w:pPr>
              <w:jc w:val="right"/>
              <w:rPr>
                <w:rFonts w:ascii="Calibri" w:hAnsi="Calibri"/>
                <w:sz w:val="20"/>
                <w:szCs w:val="20"/>
              </w:rPr>
            </w:pPr>
            <w:r w:rsidRPr="007377DB">
              <w:rPr>
                <w:rFonts w:ascii="Calibri" w:hAnsi="Calibri"/>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4BD10AAF" w14:textId="77777777" w:rsidR="007377DB" w:rsidRPr="007377DB" w:rsidRDefault="007377DB" w:rsidP="007377DB">
            <w:pPr>
              <w:jc w:val="right"/>
              <w:rPr>
                <w:rFonts w:ascii="Calibri" w:hAnsi="Calibri"/>
                <w:sz w:val="20"/>
                <w:szCs w:val="20"/>
              </w:rPr>
            </w:pPr>
            <w:r w:rsidRPr="007377DB">
              <w:rPr>
                <w:rFonts w:ascii="Calibri" w:hAnsi="Calibri"/>
                <w:sz w:val="20"/>
                <w:szCs w:val="20"/>
              </w:rPr>
              <w:t>0,00%</w:t>
            </w:r>
          </w:p>
        </w:tc>
      </w:tr>
      <w:tr w:rsidR="007377DB" w:rsidRPr="007377DB" w14:paraId="5A83B76F" w14:textId="77777777" w:rsidTr="007377DB">
        <w:trPr>
          <w:trHeight w:val="51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160DFBE8" w14:textId="77777777" w:rsidR="007377DB" w:rsidRPr="007377DB" w:rsidRDefault="007377DB" w:rsidP="007377DB">
            <w:pPr>
              <w:jc w:val="left"/>
              <w:rPr>
                <w:rFonts w:ascii="Calibri" w:hAnsi="Calibri"/>
                <w:b/>
                <w:bCs/>
                <w:color w:val="auto"/>
                <w:sz w:val="20"/>
                <w:szCs w:val="20"/>
              </w:rPr>
            </w:pPr>
            <w:r w:rsidRPr="007377DB">
              <w:rPr>
                <w:rFonts w:ascii="Calibri" w:hAnsi="Calibri"/>
                <w:b/>
                <w:bCs/>
                <w:color w:val="auto"/>
                <w:sz w:val="20"/>
                <w:szCs w:val="20"/>
              </w:rPr>
              <w:t>Prihodi od ukidanja rezervisanja po procjeni i vanbilansnoj aktivi</w:t>
            </w:r>
          </w:p>
        </w:tc>
        <w:tc>
          <w:tcPr>
            <w:tcW w:w="1287" w:type="dxa"/>
            <w:tcBorders>
              <w:top w:val="nil"/>
              <w:left w:val="nil"/>
              <w:bottom w:val="single" w:sz="4" w:space="0" w:color="auto"/>
              <w:right w:val="single" w:sz="4" w:space="0" w:color="auto"/>
            </w:tcBorders>
            <w:shd w:val="clear" w:color="auto" w:fill="auto"/>
            <w:vAlign w:val="center"/>
            <w:hideMark/>
          </w:tcPr>
          <w:p w14:paraId="3185BCCA"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450.000,00</w:t>
            </w:r>
          </w:p>
        </w:tc>
        <w:tc>
          <w:tcPr>
            <w:tcW w:w="1406" w:type="dxa"/>
            <w:tcBorders>
              <w:top w:val="nil"/>
              <w:left w:val="nil"/>
              <w:bottom w:val="single" w:sz="4" w:space="0" w:color="auto"/>
              <w:right w:val="single" w:sz="4" w:space="0" w:color="auto"/>
            </w:tcBorders>
            <w:shd w:val="clear" w:color="auto" w:fill="auto"/>
            <w:vAlign w:val="center"/>
            <w:hideMark/>
          </w:tcPr>
          <w:p w14:paraId="72A84C20"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103.851,54</w:t>
            </w:r>
          </w:p>
        </w:tc>
        <w:tc>
          <w:tcPr>
            <w:tcW w:w="1134" w:type="dxa"/>
            <w:tcBorders>
              <w:top w:val="nil"/>
              <w:left w:val="nil"/>
              <w:bottom w:val="single" w:sz="4" w:space="0" w:color="auto"/>
              <w:right w:val="single" w:sz="4" w:space="0" w:color="auto"/>
            </w:tcBorders>
            <w:shd w:val="clear" w:color="auto" w:fill="auto"/>
            <w:noWrap/>
            <w:vAlign w:val="center"/>
            <w:hideMark/>
          </w:tcPr>
          <w:p w14:paraId="3D7D510D"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23,08</w:t>
            </w:r>
          </w:p>
        </w:tc>
        <w:tc>
          <w:tcPr>
            <w:tcW w:w="1134" w:type="dxa"/>
            <w:tcBorders>
              <w:top w:val="nil"/>
              <w:left w:val="nil"/>
              <w:bottom w:val="single" w:sz="4" w:space="0" w:color="auto"/>
              <w:right w:val="single" w:sz="4" w:space="0" w:color="auto"/>
            </w:tcBorders>
            <w:shd w:val="clear" w:color="auto" w:fill="auto"/>
            <w:vAlign w:val="center"/>
            <w:hideMark/>
          </w:tcPr>
          <w:p w14:paraId="0B9B2915"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8,14%</w:t>
            </w:r>
          </w:p>
        </w:tc>
      </w:tr>
      <w:tr w:rsidR="007377DB" w:rsidRPr="007377DB" w14:paraId="0AF6BB24" w14:textId="77777777" w:rsidTr="007377DB">
        <w:trPr>
          <w:trHeight w:val="315"/>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0A210EFE" w14:textId="629CE22F" w:rsidR="007377DB" w:rsidRPr="007377DB" w:rsidRDefault="003953F5" w:rsidP="007377DB">
            <w:pPr>
              <w:rPr>
                <w:rFonts w:ascii="Calibri" w:hAnsi="Calibri"/>
                <w:b/>
                <w:bCs/>
                <w:sz w:val="20"/>
                <w:szCs w:val="20"/>
              </w:rPr>
            </w:pPr>
            <w:r>
              <w:rPr>
                <w:rFonts w:ascii="Calibri" w:hAnsi="Calibri"/>
                <w:b/>
                <w:bCs/>
                <w:sz w:val="20"/>
                <w:szCs w:val="20"/>
              </w:rPr>
              <w:t xml:space="preserve">Ostali prihodi </w:t>
            </w:r>
          </w:p>
        </w:tc>
        <w:tc>
          <w:tcPr>
            <w:tcW w:w="1287" w:type="dxa"/>
            <w:tcBorders>
              <w:top w:val="nil"/>
              <w:left w:val="nil"/>
              <w:bottom w:val="single" w:sz="4" w:space="0" w:color="auto"/>
              <w:right w:val="single" w:sz="4" w:space="0" w:color="auto"/>
            </w:tcBorders>
            <w:shd w:val="clear" w:color="auto" w:fill="auto"/>
            <w:noWrap/>
            <w:vAlign w:val="center"/>
            <w:hideMark/>
          </w:tcPr>
          <w:p w14:paraId="3148EECE"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60.000,00</w:t>
            </w:r>
          </w:p>
        </w:tc>
        <w:tc>
          <w:tcPr>
            <w:tcW w:w="1406" w:type="dxa"/>
            <w:tcBorders>
              <w:top w:val="nil"/>
              <w:left w:val="nil"/>
              <w:bottom w:val="single" w:sz="4" w:space="0" w:color="auto"/>
              <w:right w:val="single" w:sz="4" w:space="0" w:color="auto"/>
            </w:tcBorders>
            <w:shd w:val="clear" w:color="auto" w:fill="auto"/>
            <w:noWrap/>
            <w:vAlign w:val="center"/>
            <w:hideMark/>
          </w:tcPr>
          <w:p w14:paraId="55FE2815"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73.064,69</w:t>
            </w:r>
          </w:p>
        </w:tc>
        <w:tc>
          <w:tcPr>
            <w:tcW w:w="1134" w:type="dxa"/>
            <w:tcBorders>
              <w:top w:val="nil"/>
              <w:left w:val="nil"/>
              <w:bottom w:val="single" w:sz="4" w:space="0" w:color="auto"/>
              <w:right w:val="single" w:sz="4" w:space="0" w:color="auto"/>
            </w:tcBorders>
            <w:shd w:val="clear" w:color="auto" w:fill="auto"/>
            <w:noWrap/>
            <w:vAlign w:val="center"/>
            <w:hideMark/>
          </w:tcPr>
          <w:p w14:paraId="12547FE7"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121,77</w:t>
            </w:r>
          </w:p>
        </w:tc>
        <w:tc>
          <w:tcPr>
            <w:tcW w:w="1134" w:type="dxa"/>
            <w:tcBorders>
              <w:top w:val="nil"/>
              <w:left w:val="nil"/>
              <w:bottom w:val="single" w:sz="4" w:space="0" w:color="auto"/>
              <w:right w:val="single" w:sz="4" w:space="0" w:color="auto"/>
            </w:tcBorders>
            <w:shd w:val="clear" w:color="auto" w:fill="auto"/>
            <w:vAlign w:val="center"/>
            <w:hideMark/>
          </w:tcPr>
          <w:p w14:paraId="4EBB8554"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5,72%</w:t>
            </w:r>
          </w:p>
        </w:tc>
      </w:tr>
      <w:tr w:rsidR="007377DB" w:rsidRPr="007377DB" w14:paraId="4B928D50" w14:textId="77777777" w:rsidTr="007377DB">
        <w:trPr>
          <w:trHeight w:val="315"/>
        </w:trPr>
        <w:tc>
          <w:tcPr>
            <w:tcW w:w="3828" w:type="dxa"/>
            <w:tcBorders>
              <w:top w:val="nil"/>
              <w:left w:val="single" w:sz="4" w:space="0" w:color="auto"/>
              <w:bottom w:val="single" w:sz="4" w:space="0" w:color="auto"/>
              <w:right w:val="single" w:sz="4" w:space="0" w:color="auto"/>
            </w:tcBorders>
            <w:shd w:val="clear" w:color="000000" w:fill="8DB4E2"/>
            <w:noWrap/>
            <w:vAlign w:val="center"/>
            <w:hideMark/>
          </w:tcPr>
          <w:p w14:paraId="3675FC77" w14:textId="4C85AE50" w:rsidR="007377DB" w:rsidRPr="007377DB" w:rsidRDefault="003953F5" w:rsidP="007377DB">
            <w:pPr>
              <w:jc w:val="left"/>
              <w:rPr>
                <w:rFonts w:ascii="Calibri" w:hAnsi="Calibri"/>
                <w:b/>
                <w:bCs/>
                <w:sz w:val="20"/>
                <w:szCs w:val="20"/>
              </w:rPr>
            </w:pPr>
            <w:r>
              <w:rPr>
                <w:rFonts w:ascii="Calibri" w:hAnsi="Calibri"/>
                <w:b/>
                <w:bCs/>
                <w:sz w:val="20"/>
                <w:szCs w:val="20"/>
              </w:rPr>
              <w:t>UKUPNO</w:t>
            </w:r>
          </w:p>
        </w:tc>
        <w:tc>
          <w:tcPr>
            <w:tcW w:w="1287" w:type="dxa"/>
            <w:tcBorders>
              <w:top w:val="nil"/>
              <w:left w:val="nil"/>
              <w:bottom w:val="single" w:sz="4" w:space="0" w:color="auto"/>
              <w:right w:val="single" w:sz="4" w:space="0" w:color="auto"/>
            </w:tcBorders>
            <w:shd w:val="clear" w:color="000000" w:fill="8DB4E2"/>
            <w:noWrap/>
            <w:vAlign w:val="center"/>
            <w:hideMark/>
          </w:tcPr>
          <w:p w14:paraId="67633765"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2.213.000,00</w:t>
            </w:r>
          </w:p>
        </w:tc>
        <w:tc>
          <w:tcPr>
            <w:tcW w:w="1406" w:type="dxa"/>
            <w:tcBorders>
              <w:top w:val="nil"/>
              <w:left w:val="nil"/>
              <w:bottom w:val="single" w:sz="4" w:space="0" w:color="auto"/>
              <w:right w:val="single" w:sz="4" w:space="0" w:color="auto"/>
            </w:tcBorders>
            <w:shd w:val="clear" w:color="000000" w:fill="8DB4E2"/>
            <w:noWrap/>
            <w:vAlign w:val="center"/>
            <w:hideMark/>
          </w:tcPr>
          <w:p w14:paraId="6451198C"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1.276.365,06</w:t>
            </w:r>
          </w:p>
        </w:tc>
        <w:tc>
          <w:tcPr>
            <w:tcW w:w="1134" w:type="dxa"/>
            <w:tcBorders>
              <w:top w:val="nil"/>
              <w:left w:val="nil"/>
              <w:bottom w:val="single" w:sz="4" w:space="0" w:color="auto"/>
              <w:right w:val="single" w:sz="4" w:space="0" w:color="auto"/>
            </w:tcBorders>
            <w:shd w:val="clear" w:color="000000" w:fill="8DB4E2"/>
            <w:noWrap/>
            <w:vAlign w:val="center"/>
            <w:hideMark/>
          </w:tcPr>
          <w:p w14:paraId="164DF35E"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57,68</w:t>
            </w:r>
          </w:p>
        </w:tc>
        <w:tc>
          <w:tcPr>
            <w:tcW w:w="1134" w:type="dxa"/>
            <w:tcBorders>
              <w:top w:val="nil"/>
              <w:left w:val="nil"/>
              <w:bottom w:val="single" w:sz="4" w:space="0" w:color="auto"/>
              <w:right w:val="single" w:sz="4" w:space="0" w:color="auto"/>
            </w:tcBorders>
            <w:shd w:val="clear" w:color="000000" w:fill="8DB4E2"/>
            <w:vAlign w:val="center"/>
            <w:hideMark/>
          </w:tcPr>
          <w:p w14:paraId="477E1904" w14:textId="77777777" w:rsidR="007377DB" w:rsidRPr="007377DB" w:rsidRDefault="007377DB" w:rsidP="007377DB">
            <w:pPr>
              <w:jc w:val="right"/>
              <w:rPr>
                <w:rFonts w:ascii="Calibri" w:hAnsi="Calibri"/>
                <w:b/>
                <w:bCs/>
                <w:sz w:val="20"/>
                <w:szCs w:val="20"/>
              </w:rPr>
            </w:pPr>
            <w:r w:rsidRPr="007377DB">
              <w:rPr>
                <w:rFonts w:ascii="Calibri" w:hAnsi="Calibri"/>
                <w:b/>
                <w:bCs/>
                <w:sz w:val="20"/>
                <w:szCs w:val="20"/>
              </w:rPr>
              <w:t>100,00%</w:t>
            </w:r>
          </w:p>
        </w:tc>
      </w:tr>
    </w:tbl>
    <w:p w14:paraId="50440E41" w14:textId="77777777" w:rsidR="007377DB" w:rsidRPr="005767EF" w:rsidRDefault="007377DB" w:rsidP="001538EF">
      <w:pPr>
        <w:rPr>
          <w:rFonts w:asciiTheme="minorHAnsi" w:hAnsiTheme="minorHAnsi"/>
          <w:sz w:val="20"/>
          <w:szCs w:val="20"/>
          <w:lang w:val="sr-Cyrl-CS" w:eastAsia="sr-Cyrl-CS"/>
        </w:rPr>
      </w:pPr>
      <w:r>
        <w:rPr>
          <w:rFonts w:asciiTheme="minorHAnsi" w:hAnsiTheme="minorHAnsi"/>
          <w:sz w:val="20"/>
          <w:szCs w:val="20"/>
          <w:lang w:eastAsia="sr-Cyrl-CS"/>
        </w:rPr>
        <w:fldChar w:fldCharType="end"/>
      </w:r>
    </w:p>
    <w:p w14:paraId="5DE3A56F" w14:textId="77777777" w:rsidR="00A561E0" w:rsidRPr="005767EF" w:rsidRDefault="001538EF" w:rsidP="001538EF">
      <w:pPr>
        <w:rPr>
          <w:rFonts w:asciiTheme="minorHAnsi" w:hAnsiTheme="minorHAnsi"/>
          <w:sz w:val="20"/>
          <w:szCs w:val="20"/>
          <w:lang w:val="sr-Cyrl-BA" w:eastAsia="sr-Cyrl-CS"/>
        </w:rPr>
      </w:pPr>
      <w:r w:rsidRPr="005767EF">
        <w:rPr>
          <w:rFonts w:asciiTheme="minorHAnsi" w:hAnsiTheme="minorHAnsi"/>
          <w:sz w:val="20"/>
          <w:szCs w:val="20"/>
          <w:lang w:eastAsia="sr-Cyrl-CS"/>
        </w:rPr>
        <w:t xml:space="preserve">U 2023. godini, Garantni fond je ostvario ukupne prihode u iznosu od 1.276.365,06 KM. Ukupne prihode čine prihodi od premija i provizija na izdate garancije, prihodi od kamata po različitim osnovama, prihodi od ukidanja rezervisanja i ostali prihodi. </w:t>
      </w:r>
    </w:p>
    <w:p w14:paraId="014E7AA8" w14:textId="77777777" w:rsidR="00A561E0" w:rsidRPr="005767EF" w:rsidRDefault="00A561E0" w:rsidP="001538EF">
      <w:pPr>
        <w:rPr>
          <w:rFonts w:asciiTheme="minorHAnsi" w:hAnsiTheme="minorHAnsi"/>
          <w:sz w:val="20"/>
          <w:szCs w:val="20"/>
          <w:lang w:val="sr-Cyrl-RS" w:eastAsia="sr-Cyrl-CS"/>
        </w:rPr>
      </w:pPr>
    </w:p>
    <w:p w14:paraId="3AC41EA7" w14:textId="77777777" w:rsidR="00EE027C" w:rsidRPr="005767EF" w:rsidRDefault="0042190C" w:rsidP="001538EF">
      <w:pPr>
        <w:rPr>
          <w:rFonts w:asciiTheme="minorHAnsi" w:hAnsiTheme="minorHAnsi"/>
          <w:sz w:val="20"/>
          <w:szCs w:val="20"/>
          <w:lang w:val="sr-Cyrl-BA" w:eastAsia="sr-Cyrl-CS"/>
        </w:rPr>
      </w:pPr>
      <w:r w:rsidRPr="005767EF">
        <w:rPr>
          <w:rFonts w:asciiTheme="minorHAnsi" w:hAnsiTheme="minorHAnsi"/>
          <w:sz w:val="20"/>
          <w:szCs w:val="20"/>
          <w:lang w:eastAsia="sr-Cyrl-CS"/>
        </w:rPr>
        <w:t xml:space="preserve">Ako posmatramo strukturu prihoda, najveće učešće imaju prihodi od premija i provizija za izdane garancije, a ova grupa čini 48,66% ukupnih prihoda. Prihodi od kamata se nalaze na drugom mjestu sa učešćem od 37,48%. U okviru ove grupe prihoda, dominantno je učešće prihoda po osnovu ulaganja u hartije od vrijednosti. Ovi prihodi iznose 455.046,00 KM i čine 35,65% ukupnih prihoda. Na trećem mjestu su prihodi od ukidanja rezervisanja sa učešćem od 8,14%, dok je učešće ostalih prihoda 5,72%. </w:t>
      </w:r>
    </w:p>
    <w:p w14:paraId="45B2CFD1" w14:textId="77777777" w:rsidR="00ED58B7" w:rsidRDefault="00ED58B7" w:rsidP="001538EF">
      <w:pPr>
        <w:rPr>
          <w:rFonts w:asciiTheme="minorHAnsi" w:hAnsiTheme="minorHAnsi"/>
          <w:sz w:val="20"/>
          <w:szCs w:val="20"/>
          <w:lang w:val="sr-Latn-BA" w:eastAsia="sr-Cyrl-CS"/>
        </w:rPr>
      </w:pPr>
    </w:p>
    <w:p w14:paraId="65449D61" w14:textId="77DB6907" w:rsidR="00BD3482" w:rsidRDefault="00BD3482" w:rsidP="001538EF">
      <w:pPr>
        <w:rPr>
          <w:rFonts w:asciiTheme="minorHAnsi" w:hAnsiTheme="minorHAnsi"/>
          <w:sz w:val="20"/>
          <w:szCs w:val="20"/>
          <w:lang w:val="sr-Cyrl-BA" w:eastAsia="sr-Cyrl-CS"/>
        </w:rPr>
      </w:pPr>
      <w:r>
        <w:rPr>
          <w:rFonts w:asciiTheme="minorHAnsi" w:hAnsiTheme="minorHAnsi"/>
          <w:b/>
          <w:sz w:val="20"/>
          <w:szCs w:val="20"/>
          <w:lang w:eastAsia="sr-Cyrl-CS"/>
        </w:rPr>
        <w:t xml:space="preserve">Prihodi od kamata  </w:t>
      </w:r>
      <w:r>
        <w:rPr>
          <w:rFonts w:asciiTheme="minorHAnsi" w:hAnsiTheme="minorHAnsi"/>
          <w:sz w:val="20"/>
          <w:szCs w:val="20"/>
          <w:lang w:eastAsia="sr-Cyrl-CS"/>
        </w:rPr>
        <w:t xml:space="preserve"> su ostvareni u ukupnom iznosu od 478.325,78 KM. Većinski dio ovih prihoda (455.046,00 KM) se odnosi na prihode ostvarene po osnovu ulaganja u dužničke hartije od vrijednosti, dok se manji iznos odnosi na prihode od zateznih kamata i prihode po osnovu oročenih depozita. </w:t>
      </w:r>
    </w:p>
    <w:p w14:paraId="14568E9F" w14:textId="77777777" w:rsidR="00C76A89" w:rsidRPr="00BD3482" w:rsidRDefault="00C76A89" w:rsidP="001538EF">
      <w:pPr>
        <w:rPr>
          <w:rFonts w:asciiTheme="minorHAnsi" w:hAnsiTheme="minorHAnsi"/>
          <w:b/>
          <w:sz w:val="20"/>
          <w:szCs w:val="20"/>
          <w:lang w:val="sr-Cyrl-BA" w:eastAsia="sr-Cyrl-CS"/>
        </w:rPr>
      </w:pPr>
    </w:p>
    <w:p w14:paraId="57AA3151" w14:textId="3ACB2AC6" w:rsidR="00F731FD" w:rsidRPr="005767EF" w:rsidRDefault="00C76A89" w:rsidP="001538EF">
      <w:pPr>
        <w:rPr>
          <w:rFonts w:asciiTheme="minorHAnsi" w:hAnsiTheme="minorHAnsi"/>
          <w:sz w:val="20"/>
          <w:szCs w:val="20"/>
          <w:lang w:val="sr-Cyrl-BA" w:eastAsia="sr-Cyrl-CS"/>
        </w:rPr>
      </w:pPr>
      <w:r w:rsidRPr="00C76A89">
        <w:rPr>
          <w:rFonts w:asciiTheme="minorHAnsi" w:hAnsiTheme="minorHAnsi"/>
          <w:sz w:val="20"/>
          <w:szCs w:val="20"/>
          <w:lang w:eastAsia="sr-Cyrl-CS"/>
        </w:rPr>
        <w:t xml:space="preserve">Najveći iznos prihoda tokom 2023. godine je ostvaren iz redovne aktivnosti izdavanja garancija, odnosno od premija i provizija na izdane garancije </w:t>
      </w:r>
      <w:r>
        <w:rPr>
          <w:rFonts w:asciiTheme="minorHAnsi" w:hAnsiTheme="minorHAnsi"/>
          <w:b/>
          <w:sz w:val="20"/>
          <w:szCs w:val="20"/>
          <w:lang w:eastAsia="sr-Cyrl-CS"/>
        </w:rPr>
        <w:t xml:space="preserve"> . Prihodi od premija i provizija  </w:t>
      </w:r>
      <w:r w:rsidR="00F731FD" w:rsidRPr="005767EF">
        <w:rPr>
          <w:rFonts w:asciiTheme="minorHAnsi" w:hAnsiTheme="minorHAnsi"/>
          <w:sz w:val="20"/>
          <w:szCs w:val="20"/>
          <w:lang w:eastAsia="sr-Cyrl-CS"/>
        </w:rPr>
        <w:t xml:space="preserve"> obuhvataju prihode od premije i provizija od pojedinačnih garancija, te prihode od premija i provizija po osnovu garancija izdanih na nivou kreditnog portfelja. Tokom 2023. godine ovi prihodi su ostvareni u iznosu od 621.123,05 KM, što je gotovo polovina ukupnih prihoda u ovoj godini. </w:t>
      </w:r>
    </w:p>
    <w:p w14:paraId="3732DC2C" w14:textId="77777777" w:rsidR="00F731FD" w:rsidRPr="005767EF" w:rsidRDefault="00F731FD" w:rsidP="001538EF">
      <w:pPr>
        <w:rPr>
          <w:rFonts w:asciiTheme="minorHAnsi" w:hAnsiTheme="minorHAnsi"/>
          <w:sz w:val="20"/>
          <w:szCs w:val="20"/>
          <w:lang w:val="sr-Cyrl-BA" w:eastAsia="sr-Cyrl-CS"/>
        </w:rPr>
      </w:pPr>
    </w:p>
    <w:p w14:paraId="46701DD5" w14:textId="77777777" w:rsidR="0090033D" w:rsidRDefault="001538EF" w:rsidP="001538EF">
      <w:pPr>
        <w:rPr>
          <w:rFonts w:ascii="Calibri" w:hAnsi="Calibri" w:cs="Calibri"/>
          <w:sz w:val="20"/>
          <w:szCs w:val="20"/>
          <w:lang w:eastAsia="sr-Cyrl-CS"/>
        </w:rPr>
      </w:pPr>
      <w:r w:rsidRPr="007377DB">
        <w:rPr>
          <w:rFonts w:asciiTheme="minorHAnsi" w:hAnsiTheme="minorHAnsi"/>
          <w:b/>
          <w:sz w:val="20"/>
          <w:szCs w:val="20"/>
          <w:lang w:eastAsia="sr-Cyrl-CS"/>
        </w:rPr>
        <w:t xml:space="preserve">Prihode od ukidanja rezervisanja  </w:t>
      </w:r>
      <w:r w:rsidR="002C09A5">
        <w:rPr>
          <w:rFonts w:asciiTheme="minorHAnsi" w:hAnsiTheme="minorHAnsi"/>
          <w:sz w:val="20"/>
          <w:szCs w:val="20"/>
          <w:lang w:eastAsia="sr-Cyrl-CS"/>
        </w:rPr>
        <w:t xml:space="preserve"> čine prihodi od ukidanja rezervisanja za vanbilansne evidencije u ukupnom iznosu od 103.851,54 KM, od čega se na redovne garancije </w:t>
      </w:r>
      <w:r w:rsidR="002C09A5">
        <w:rPr>
          <w:rFonts w:asciiTheme="minorHAnsi" w:hAnsiTheme="minorHAnsi"/>
          <w:sz w:val="20"/>
          <w:szCs w:val="20"/>
          <w:lang w:eastAsia="sr-Cyrl-CS"/>
        </w:rPr>
        <w:t xml:space="preserve">‬ </w:t>
      </w:r>
      <w:r w:rsidR="005D2D24" w:rsidRPr="005D2D24">
        <w:rPr>
          <w:rFonts w:ascii="Calibri" w:hAnsi="Calibri" w:cs="Calibri"/>
          <w:sz w:val="20"/>
          <w:szCs w:val="20"/>
          <w:lang w:eastAsia="sr-Cyrl-CS"/>
        </w:rPr>
        <w:t xml:space="preserve">  odnosi prihod u iznosu od </w:t>
      </w:r>
      <w:r w:rsidR="005D2D24" w:rsidRPr="005D2D24">
        <w:rPr>
          <w:rFonts w:asciiTheme="minorHAnsi" w:hAnsiTheme="minorHAnsi"/>
          <w:sz w:val="20"/>
          <w:szCs w:val="20"/>
          <w:lang w:eastAsia="sr-Cyrl-CS"/>
        </w:rPr>
        <w:t xml:space="preserve">  86.865,30  </w:t>
      </w:r>
      <w:r w:rsidR="005D2D24" w:rsidRPr="005D2D24">
        <w:rPr>
          <w:rFonts w:ascii="Calibri" w:hAnsi="Calibri" w:cs="Calibri"/>
          <w:sz w:val="20"/>
          <w:szCs w:val="20"/>
          <w:lang w:eastAsia="sr-Cyrl-CS"/>
        </w:rPr>
        <w:t xml:space="preserve"> KM </w:t>
      </w:r>
      <w:r w:rsidR="005D2D24" w:rsidRPr="005D2D24">
        <w:rPr>
          <w:rFonts w:asciiTheme="minorHAnsi" w:hAnsiTheme="minorHAnsi"/>
          <w:sz w:val="20"/>
          <w:szCs w:val="20"/>
          <w:lang w:eastAsia="sr-Cyrl-CS"/>
        </w:rPr>
        <w:t xml:space="preserve"> ,  </w:t>
      </w:r>
      <w:r w:rsidR="005D2D24" w:rsidRPr="005D2D24">
        <w:rPr>
          <w:rFonts w:ascii="Calibri" w:hAnsi="Calibri" w:cs="Calibri"/>
          <w:sz w:val="20"/>
          <w:szCs w:val="20"/>
          <w:lang w:eastAsia="sr-Cyrl-CS"/>
        </w:rPr>
        <w:t xml:space="preserve"> </w:t>
      </w:r>
    </w:p>
    <w:p w14:paraId="53BF0645" w14:textId="77777777" w:rsidR="0090033D" w:rsidRDefault="0090033D" w:rsidP="001538EF">
      <w:pPr>
        <w:rPr>
          <w:rFonts w:ascii="Calibri" w:hAnsi="Calibri" w:cs="Calibri"/>
          <w:sz w:val="20"/>
          <w:szCs w:val="20"/>
          <w:lang w:eastAsia="sr-Cyrl-CS"/>
        </w:rPr>
      </w:pPr>
    </w:p>
    <w:p w14:paraId="35356578" w14:textId="56353F02" w:rsidR="001538EF" w:rsidRPr="005767EF" w:rsidRDefault="005D2D24" w:rsidP="001538EF">
      <w:pPr>
        <w:rPr>
          <w:rFonts w:asciiTheme="minorHAnsi" w:hAnsiTheme="minorHAnsi"/>
          <w:sz w:val="20"/>
          <w:szCs w:val="20"/>
          <w:lang w:val="sr-Cyrl-BA" w:eastAsia="sr-Cyrl-CS"/>
        </w:rPr>
      </w:pPr>
      <w:r w:rsidRPr="005D2D24">
        <w:rPr>
          <w:rFonts w:ascii="Calibri" w:hAnsi="Calibri" w:cs="Calibri"/>
          <w:sz w:val="20"/>
          <w:szCs w:val="20"/>
          <w:lang w:eastAsia="sr-Cyrl-CS"/>
        </w:rPr>
        <w:t xml:space="preserve">dok se na garancije iz kreditnog portfelja odnosi prihod u iznosu od </w:t>
      </w:r>
      <w:r w:rsidRPr="005D2D24">
        <w:rPr>
          <w:rFonts w:asciiTheme="minorHAnsi" w:hAnsiTheme="minorHAnsi"/>
          <w:sz w:val="20"/>
          <w:szCs w:val="20"/>
          <w:lang w:eastAsia="sr-Cyrl-CS"/>
        </w:rPr>
        <w:t xml:space="preserve">  16.978,74  </w:t>
      </w:r>
      <w:r w:rsidRPr="005D2D24">
        <w:rPr>
          <w:rFonts w:ascii="Calibri" w:hAnsi="Calibri" w:cs="Calibri"/>
          <w:sz w:val="20"/>
          <w:szCs w:val="20"/>
          <w:lang w:eastAsia="sr-Cyrl-CS"/>
        </w:rPr>
        <w:t xml:space="preserve"> KM</w:t>
      </w:r>
      <w:r w:rsidRPr="005D2D24">
        <w:rPr>
          <w:rFonts w:asciiTheme="minorHAnsi" w:hAnsiTheme="minorHAnsi"/>
          <w:sz w:val="20"/>
          <w:szCs w:val="20"/>
          <w:lang w:eastAsia="sr-Cyrl-CS"/>
        </w:rPr>
        <w:t>.</w:t>
      </w:r>
      <w:r w:rsidR="004D4A5A">
        <w:rPr>
          <w:rFonts w:asciiTheme="minorHAnsi" w:hAnsiTheme="minorHAnsi"/>
          <w:sz w:val="20"/>
          <w:szCs w:val="20"/>
          <w:lang w:eastAsia="sr-Cyrl-CS"/>
        </w:rPr>
        <w:t xml:space="preserve"> </w:t>
      </w:r>
      <w:r w:rsidRPr="005D2D24">
        <w:rPr>
          <w:rFonts w:ascii="Calibri" w:hAnsi="Calibri" w:cs="Calibri"/>
          <w:sz w:val="20"/>
          <w:szCs w:val="20"/>
          <w:lang w:eastAsia="sr-Cyrl-CS"/>
        </w:rPr>
        <w:t xml:space="preserve"> Ova ukidanja rezervisanja rezultat su primjene MSFI </w:t>
      </w:r>
      <w:r w:rsidRPr="005D2D24">
        <w:rPr>
          <w:rFonts w:asciiTheme="minorHAnsi" w:hAnsiTheme="minorHAnsi"/>
          <w:sz w:val="20"/>
          <w:szCs w:val="20"/>
          <w:lang w:eastAsia="sr-Cyrl-CS"/>
        </w:rPr>
        <w:t xml:space="preserve">  9  </w:t>
      </w:r>
      <w:r w:rsidRPr="005D2D24">
        <w:rPr>
          <w:rFonts w:ascii="Calibri" w:hAnsi="Calibri" w:cs="Calibri"/>
          <w:sz w:val="20"/>
          <w:szCs w:val="20"/>
          <w:lang w:eastAsia="sr-Cyrl-CS"/>
        </w:rPr>
        <w:t xml:space="preserve"> za izvje  </w:t>
      </w:r>
      <w:r w:rsidRPr="005D2D24">
        <w:rPr>
          <w:rFonts w:asciiTheme="minorHAnsi" w:hAnsiTheme="minorHAnsi"/>
          <w:sz w:val="20"/>
          <w:szCs w:val="20"/>
          <w:lang w:eastAsia="sr-Cyrl-CS"/>
        </w:rPr>
        <w:t xml:space="preserve"> štajnu godinu, a odnose se na klijente koji su u toku godine poboljšali finansijsku poziciju i počeli redovno izmirivati dospjele obaveze po kreditima i garancijama. </w:t>
      </w:r>
    </w:p>
    <w:p w14:paraId="5C826C22" w14:textId="77777777" w:rsidR="001538EF" w:rsidRPr="005767EF" w:rsidRDefault="001538EF" w:rsidP="001538EF">
      <w:pPr>
        <w:autoSpaceDE w:val="0"/>
        <w:autoSpaceDN w:val="0"/>
        <w:adjustRightInd w:val="0"/>
        <w:jc w:val="left"/>
        <w:rPr>
          <w:rFonts w:asciiTheme="minorHAnsi" w:eastAsiaTheme="minorHAnsi" w:hAnsiTheme="minorHAnsi"/>
          <w:bCs/>
          <w:sz w:val="20"/>
          <w:szCs w:val="20"/>
          <w:lang w:val="sr-Latn-RS" w:eastAsia="en-US"/>
        </w:rPr>
      </w:pPr>
    </w:p>
    <w:p w14:paraId="127B2F64" w14:textId="4D21BC77" w:rsidR="00617810" w:rsidRPr="005767EF" w:rsidRDefault="001538EF" w:rsidP="00013EC5">
      <w:pPr>
        <w:autoSpaceDE w:val="0"/>
        <w:autoSpaceDN w:val="0"/>
        <w:adjustRightInd w:val="0"/>
        <w:rPr>
          <w:rFonts w:asciiTheme="minorHAnsi" w:eastAsiaTheme="minorHAnsi" w:hAnsiTheme="minorHAnsi"/>
          <w:bCs/>
          <w:sz w:val="20"/>
          <w:szCs w:val="20"/>
          <w:lang w:val="sr-Cyrl-BA" w:eastAsia="en-US"/>
        </w:rPr>
      </w:pPr>
      <w:r w:rsidRPr="007377DB">
        <w:rPr>
          <w:rFonts w:asciiTheme="minorHAnsi" w:eastAsiaTheme="minorHAnsi" w:hAnsiTheme="minorHAnsi"/>
          <w:b/>
          <w:bCs/>
          <w:sz w:val="20"/>
          <w:szCs w:val="20"/>
          <w:lang w:eastAsia="en-US"/>
        </w:rPr>
        <w:t xml:space="preserve">Ostali prihodi  </w:t>
      </w:r>
      <w:r w:rsidRPr="005767EF">
        <w:rPr>
          <w:rFonts w:asciiTheme="minorHAnsi" w:eastAsiaTheme="minorHAnsi" w:hAnsiTheme="minorHAnsi"/>
          <w:bCs/>
          <w:sz w:val="20"/>
          <w:szCs w:val="20"/>
          <w:lang w:eastAsia="en-US"/>
        </w:rPr>
        <w:t xml:space="preserve"> u iznosu od 73.064,22 KM se odnose na: refundacije Fonda zdravstvenog i invalidskog osiguranja Republike Srpske za bolovanja radnika i porodiljski dopust, prihode od prodaje osnovnih sredstava, prihod od otpisa obaveza i ostale vanredne prihode. </w:t>
      </w:r>
    </w:p>
    <w:p w14:paraId="1AD5DD68" w14:textId="77777777" w:rsidR="00617810" w:rsidRPr="005767EF" w:rsidRDefault="00617810" w:rsidP="00013EC5">
      <w:pPr>
        <w:autoSpaceDE w:val="0"/>
        <w:autoSpaceDN w:val="0"/>
        <w:adjustRightInd w:val="0"/>
        <w:rPr>
          <w:rFonts w:asciiTheme="minorHAnsi" w:eastAsiaTheme="minorHAnsi" w:hAnsiTheme="minorHAnsi"/>
          <w:bCs/>
          <w:sz w:val="20"/>
          <w:szCs w:val="20"/>
          <w:lang w:val="sr-Cyrl-BA" w:eastAsia="en-US"/>
        </w:rPr>
      </w:pPr>
    </w:p>
    <w:p w14:paraId="199B9C9A" w14:textId="77777777" w:rsidR="005B2B10" w:rsidRPr="005767EF" w:rsidRDefault="005B2B10" w:rsidP="00013EC5">
      <w:pPr>
        <w:autoSpaceDE w:val="0"/>
        <w:autoSpaceDN w:val="0"/>
        <w:adjustRightInd w:val="0"/>
        <w:rPr>
          <w:rFonts w:asciiTheme="minorHAnsi" w:eastAsiaTheme="minorHAnsi" w:hAnsiTheme="minorHAnsi"/>
          <w:bCs/>
          <w:sz w:val="20"/>
          <w:szCs w:val="20"/>
          <w:lang w:val="sr-Cyrl-BA" w:eastAsia="en-US"/>
        </w:rPr>
      </w:pPr>
      <w:r w:rsidRPr="005767EF">
        <w:rPr>
          <w:rFonts w:asciiTheme="minorHAnsi" w:eastAsiaTheme="minorHAnsi" w:hAnsiTheme="minorHAnsi"/>
          <w:bCs/>
          <w:sz w:val="20"/>
          <w:szCs w:val="20"/>
          <w:lang w:eastAsia="en-US"/>
        </w:rPr>
        <w:t>Ako posmatramo plan ostvarenja prihoda za 2023. godinu, na većini pozicija je vidljivo značajno odstupanje, odnosno ostvarenje u manjem iznosu od planiranog. Najveće odstupanje je primjetno u realizaciji plana prihoda od premija i provizija, te na poziciji prihoda od ukidanja rezervisanja. Odstupanje od plana prihoda od premija i provizija je u direktnoj vezi sa činjenicom da nije realizovan plan garancija iz redovne aktivnosti. Neispunjenje plana izdavanja pojedinačnih garancija je jednim dijelom uzrokovano većom zainteresovanošću finansijskih posrednika za garancije iz kreditnog portfelja. Tokom 2023. godine je bila primjetna orijentacija na garancije u okviru kreditnog portfelja. Uzrok tome su brža i jednostavnija procedura izdavanja garancija, niže stope premija i manji trošak za klijenta.</w:t>
      </w:r>
    </w:p>
    <w:p w14:paraId="2521369F" w14:textId="77777777" w:rsidR="0090033D" w:rsidRPr="0090033D" w:rsidRDefault="0090033D" w:rsidP="001538EF">
      <w:pPr>
        <w:autoSpaceDE w:val="0"/>
        <w:autoSpaceDN w:val="0"/>
        <w:adjustRightInd w:val="0"/>
        <w:jc w:val="left"/>
        <w:rPr>
          <w:rFonts w:asciiTheme="minorHAnsi" w:eastAsiaTheme="minorHAnsi" w:hAnsiTheme="minorHAnsi"/>
          <w:sz w:val="20"/>
          <w:szCs w:val="20"/>
          <w:lang w:val="sr-Latn-BA" w:eastAsia="en-US"/>
        </w:rPr>
      </w:pPr>
    </w:p>
    <w:p w14:paraId="4C03E2DF" w14:textId="77777777" w:rsidR="001538EF" w:rsidRPr="00EE16CE" w:rsidRDefault="00E84021" w:rsidP="00910D8B">
      <w:pPr>
        <w:pStyle w:val="Heading2"/>
        <w:numPr>
          <w:ilvl w:val="0"/>
          <w:numId w:val="0"/>
        </w:numPr>
        <w:rPr>
          <w:rFonts w:asciiTheme="minorHAnsi" w:hAnsiTheme="minorHAnsi"/>
          <w:szCs w:val="20"/>
          <w:lang w:val="sr-Cyrl-RS"/>
        </w:rPr>
      </w:pPr>
      <w:bookmarkStart w:id="13" w:name="_Toc135292176"/>
      <w:r>
        <w:rPr>
          <w:rFonts w:asciiTheme="minorHAnsi" w:hAnsiTheme="minorHAnsi"/>
          <w:szCs w:val="20"/>
        </w:rPr>
        <w:t>3.2 ANALIZA OSTVARENIH RASHODA U 2023. GODINI</w:t>
      </w:r>
      <w:bookmarkEnd w:id="13"/>
    </w:p>
    <w:p w14:paraId="4C237481" w14:textId="77777777" w:rsidR="001538EF" w:rsidRPr="005767EF" w:rsidRDefault="001538EF" w:rsidP="001538EF">
      <w:pPr>
        <w:rPr>
          <w:rFonts w:asciiTheme="minorHAnsi" w:hAnsiTheme="minorHAnsi"/>
          <w:sz w:val="20"/>
          <w:szCs w:val="20"/>
          <w:lang w:val="sr-Cyrl-CS" w:eastAsia="sr-Cyrl-CS"/>
        </w:rPr>
      </w:pPr>
    </w:p>
    <w:p w14:paraId="07395D7F" w14:textId="77777777" w:rsidR="001538EF" w:rsidRDefault="001538EF" w:rsidP="001538EF">
      <w:pPr>
        <w:jc w:val="center"/>
        <w:rPr>
          <w:rFonts w:asciiTheme="minorHAnsi" w:hAnsiTheme="minorHAnsi"/>
          <w:b/>
          <w:sz w:val="20"/>
          <w:szCs w:val="20"/>
          <w:lang w:eastAsia="sr-Cyrl-CS"/>
        </w:rPr>
      </w:pPr>
      <w:r w:rsidRPr="005767EF">
        <w:rPr>
          <w:rFonts w:asciiTheme="minorHAnsi" w:hAnsiTheme="minorHAnsi"/>
          <w:b/>
          <w:sz w:val="20"/>
          <w:szCs w:val="20"/>
          <w:lang w:eastAsia="sr-Cyrl-CS"/>
        </w:rPr>
        <w:t>Pregled ostvarenih rashoda poslovanja u 2023. godini</w:t>
      </w:r>
    </w:p>
    <w:p w14:paraId="2E7C5CBB" w14:textId="77777777" w:rsidR="0090033D" w:rsidRDefault="0090033D" w:rsidP="001538EF">
      <w:pPr>
        <w:jc w:val="center"/>
        <w:rPr>
          <w:rFonts w:asciiTheme="minorHAnsi" w:hAnsiTheme="minorHAnsi"/>
          <w:b/>
          <w:sz w:val="20"/>
          <w:szCs w:val="20"/>
          <w:lang w:val="sr-Latn-BA" w:eastAsia="sr-Cyrl-CS"/>
        </w:rPr>
      </w:pPr>
    </w:p>
    <w:p w14:paraId="49F8601D" w14:textId="77777777" w:rsidR="0090033D" w:rsidRPr="0090033D" w:rsidRDefault="0090033D" w:rsidP="001538EF">
      <w:pPr>
        <w:jc w:val="center"/>
        <w:rPr>
          <w:rFonts w:asciiTheme="minorHAnsi" w:hAnsiTheme="minorHAnsi"/>
          <w:b/>
          <w:sz w:val="20"/>
          <w:szCs w:val="20"/>
          <w:lang w:val="sr-Latn-BA" w:eastAsia="sr-Cyrl-CS"/>
        </w:rPr>
      </w:pPr>
    </w:p>
    <w:p w14:paraId="3EC48271" w14:textId="77777777" w:rsidR="001538EF" w:rsidRPr="005767EF" w:rsidRDefault="001538EF" w:rsidP="0090033D">
      <w:pPr>
        <w:jc w:val="right"/>
        <w:rPr>
          <w:rFonts w:asciiTheme="minorHAnsi" w:hAnsiTheme="minorHAnsi"/>
          <w:b/>
          <w:sz w:val="20"/>
          <w:szCs w:val="20"/>
          <w:lang w:val="sr-Cyrl-BA" w:eastAsia="sr-Cyrl-CS"/>
        </w:rPr>
      </w:pPr>
    </w:p>
    <w:p w14:paraId="13CCF076" w14:textId="77777777" w:rsidR="001538EF" w:rsidRPr="005767EF" w:rsidRDefault="001538EF" w:rsidP="0090033D">
      <w:pPr>
        <w:jc w:val="right"/>
        <w:rPr>
          <w:rFonts w:asciiTheme="minorHAnsi" w:hAnsiTheme="minorHAnsi"/>
          <w:b/>
          <w:sz w:val="20"/>
          <w:szCs w:val="20"/>
          <w:lang w:val="sr-Cyrl-BA" w:eastAsia="sr-Cyrl-CS"/>
        </w:rPr>
      </w:pPr>
      <w:r w:rsidRPr="005767EF">
        <w:rPr>
          <w:rFonts w:asciiTheme="minorHAnsi" w:hAnsiTheme="minorHAnsi"/>
          <w:b/>
          <w:sz w:val="20"/>
          <w:szCs w:val="20"/>
          <w:lang w:eastAsia="sr-Cyrl-CS"/>
        </w:rPr>
        <w:t xml:space="preserve">                              Tabela 23</w:t>
      </w:r>
    </w:p>
    <w:tbl>
      <w:tblPr>
        <w:tblW w:w="8940" w:type="dxa"/>
        <w:tblInd w:w="93" w:type="dxa"/>
        <w:tblLook w:val="04A0" w:firstRow="1" w:lastRow="0" w:firstColumn="1" w:lastColumn="0" w:noHBand="0" w:noVBand="1"/>
      </w:tblPr>
      <w:tblGrid>
        <w:gridCol w:w="880"/>
        <w:gridCol w:w="4320"/>
        <w:gridCol w:w="1340"/>
        <w:gridCol w:w="1320"/>
        <w:gridCol w:w="1080"/>
      </w:tblGrid>
      <w:tr w:rsidR="00553AEA" w:rsidRPr="00553AEA" w14:paraId="17B4EA84" w14:textId="77777777" w:rsidTr="001A4ADE">
        <w:trPr>
          <w:trHeight w:val="510"/>
        </w:trPr>
        <w:tc>
          <w:tcPr>
            <w:tcW w:w="880" w:type="dxa"/>
            <w:tcBorders>
              <w:top w:val="single" w:sz="8" w:space="0" w:color="auto"/>
              <w:left w:val="single" w:sz="8" w:space="0" w:color="auto"/>
              <w:bottom w:val="nil"/>
              <w:right w:val="single" w:sz="8" w:space="0" w:color="auto"/>
            </w:tcBorders>
            <w:shd w:val="clear" w:color="000000" w:fill="8DB4E2"/>
            <w:noWrap/>
            <w:vAlign w:val="center"/>
            <w:hideMark/>
          </w:tcPr>
          <w:p w14:paraId="38319651"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Konto</w:t>
            </w:r>
          </w:p>
        </w:tc>
        <w:tc>
          <w:tcPr>
            <w:tcW w:w="4320" w:type="dxa"/>
            <w:tcBorders>
              <w:top w:val="single" w:sz="8" w:space="0" w:color="auto"/>
              <w:left w:val="nil"/>
              <w:bottom w:val="nil"/>
              <w:right w:val="single" w:sz="8" w:space="0" w:color="auto"/>
            </w:tcBorders>
            <w:shd w:val="clear" w:color="000000" w:fill="8DB4E2"/>
            <w:vAlign w:val="center"/>
            <w:hideMark/>
          </w:tcPr>
          <w:p w14:paraId="616064C9" w14:textId="17D3E0A8" w:rsidR="00553AEA" w:rsidRPr="00553AEA" w:rsidRDefault="00073CF0" w:rsidP="00553AEA">
            <w:pPr>
              <w:jc w:val="center"/>
              <w:rPr>
                <w:rFonts w:ascii="Calibri" w:hAnsi="Calibri"/>
                <w:b/>
                <w:bCs/>
                <w:sz w:val="20"/>
                <w:szCs w:val="20"/>
              </w:rPr>
            </w:pPr>
            <w:r>
              <w:rPr>
                <w:rFonts w:ascii="Calibri" w:hAnsi="Calibri"/>
                <w:b/>
                <w:bCs/>
                <w:sz w:val="20"/>
                <w:szCs w:val="20"/>
              </w:rPr>
              <w:t>Naziv</w:t>
            </w:r>
          </w:p>
        </w:tc>
        <w:tc>
          <w:tcPr>
            <w:tcW w:w="1340" w:type="dxa"/>
            <w:tcBorders>
              <w:top w:val="single" w:sz="8" w:space="0" w:color="auto"/>
              <w:left w:val="nil"/>
              <w:bottom w:val="nil"/>
              <w:right w:val="single" w:sz="8" w:space="0" w:color="auto"/>
            </w:tcBorders>
            <w:shd w:val="clear" w:color="000000" w:fill="8DB4E2"/>
            <w:vAlign w:val="center"/>
            <w:hideMark/>
          </w:tcPr>
          <w:p w14:paraId="4A07582C" w14:textId="31F29C6C" w:rsidR="00553AEA" w:rsidRPr="00553AEA" w:rsidRDefault="00553AEA" w:rsidP="00553AEA">
            <w:pPr>
              <w:jc w:val="center"/>
              <w:rPr>
                <w:rFonts w:ascii="Calibri" w:hAnsi="Calibri"/>
                <w:b/>
                <w:bCs/>
                <w:sz w:val="20"/>
                <w:szCs w:val="20"/>
              </w:rPr>
            </w:pPr>
            <w:r w:rsidRPr="00553AEA">
              <w:rPr>
                <w:rFonts w:ascii="Calibri" w:hAnsi="Calibri"/>
                <w:b/>
                <w:bCs/>
                <w:sz w:val="20"/>
                <w:szCs w:val="20"/>
              </w:rPr>
              <w:t xml:space="preserve">Planirano </w:t>
            </w:r>
            <w:r w:rsidR="00073CF0">
              <w:rPr>
                <w:rFonts w:ascii="Calibri" w:hAnsi="Calibri"/>
                <w:b/>
                <w:bCs/>
                <w:sz w:val="20"/>
                <w:szCs w:val="20"/>
              </w:rPr>
              <w:t xml:space="preserve">u </w:t>
            </w:r>
            <w:r w:rsidRPr="00553AEA">
              <w:rPr>
                <w:rFonts w:ascii="Calibri" w:hAnsi="Calibri"/>
                <w:b/>
                <w:bCs/>
                <w:sz w:val="20"/>
                <w:szCs w:val="20"/>
              </w:rPr>
              <w:t xml:space="preserve">2023. </w:t>
            </w:r>
            <w:r w:rsidR="00073CF0">
              <w:rPr>
                <w:rFonts w:ascii="Calibri" w:hAnsi="Calibri"/>
                <w:b/>
                <w:bCs/>
                <w:sz w:val="20"/>
                <w:szCs w:val="20"/>
              </w:rPr>
              <w:t>godini</w:t>
            </w:r>
          </w:p>
        </w:tc>
        <w:tc>
          <w:tcPr>
            <w:tcW w:w="1320" w:type="dxa"/>
            <w:tcBorders>
              <w:top w:val="single" w:sz="8" w:space="0" w:color="auto"/>
              <w:left w:val="nil"/>
              <w:bottom w:val="nil"/>
              <w:right w:val="single" w:sz="8" w:space="0" w:color="auto"/>
            </w:tcBorders>
            <w:shd w:val="clear" w:color="000000" w:fill="8DB4E2"/>
            <w:vAlign w:val="center"/>
            <w:hideMark/>
          </w:tcPr>
          <w:p w14:paraId="16CE7211"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Ostvareno u 2023. godini</w:t>
            </w:r>
          </w:p>
        </w:tc>
        <w:tc>
          <w:tcPr>
            <w:tcW w:w="1080" w:type="dxa"/>
            <w:tcBorders>
              <w:top w:val="single" w:sz="8" w:space="0" w:color="auto"/>
              <w:left w:val="nil"/>
              <w:bottom w:val="nil"/>
              <w:right w:val="single" w:sz="8" w:space="0" w:color="auto"/>
            </w:tcBorders>
            <w:shd w:val="clear" w:color="000000" w:fill="8DB4E2"/>
            <w:noWrap/>
            <w:vAlign w:val="center"/>
            <w:hideMark/>
          </w:tcPr>
          <w:p w14:paraId="08FAC71A" w14:textId="77777777" w:rsidR="00553AEA" w:rsidRPr="00553AEA" w:rsidRDefault="00553AEA" w:rsidP="00553AEA">
            <w:pPr>
              <w:jc w:val="center"/>
              <w:rPr>
                <w:rFonts w:ascii="Calibri" w:hAnsi="Calibri"/>
                <w:b/>
                <w:sz w:val="20"/>
                <w:szCs w:val="20"/>
              </w:rPr>
            </w:pPr>
            <w:r w:rsidRPr="00553AEA">
              <w:rPr>
                <w:rFonts w:ascii="Calibri" w:hAnsi="Calibri"/>
                <w:b/>
                <w:sz w:val="20"/>
                <w:szCs w:val="20"/>
              </w:rPr>
              <w:t>Indeks</w:t>
            </w:r>
          </w:p>
        </w:tc>
      </w:tr>
      <w:tr w:rsidR="00553AEA" w:rsidRPr="00553AEA" w14:paraId="3E6B17E3" w14:textId="77777777" w:rsidTr="001A4ADE">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59B07"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1</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1069238D"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2</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C85A10E"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3</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D805ED8"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0C34641" w14:textId="77777777" w:rsidR="00553AEA" w:rsidRPr="00553AEA" w:rsidRDefault="00553AEA" w:rsidP="00553AEA">
            <w:pPr>
              <w:jc w:val="center"/>
              <w:rPr>
                <w:rFonts w:ascii="Calibri" w:hAnsi="Calibri"/>
                <w:b/>
                <w:sz w:val="20"/>
                <w:szCs w:val="20"/>
              </w:rPr>
            </w:pPr>
            <w:r w:rsidRPr="00553AEA">
              <w:rPr>
                <w:rFonts w:ascii="Calibri" w:hAnsi="Calibri"/>
                <w:b/>
                <w:sz w:val="20"/>
                <w:szCs w:val="20"/>
              </w:rPr>
              <w:t>5</w:t>
            </w:r>
          </w:p>
        </w:tc>
      </w:tr>
      <w:tr w:rsidR="00553AEA" w:rsidRPr="00553AEA" w14:paraId="43E97692"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D802500"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60</w:t>
            </w:r>
          </w:p>
        </w:tc>
        <w:tc>
          <w:tcPr>
            <w:tcW w:w="4320" w:type="dxa"/>
            <w:tcBorders>
              <w:top w:val="nil"/>
              <w:left w:val="nil"/>
              <w:bottom w:val="single" w:sz="4" w:space="0" w:color="auto"/>
              <w:right w:val="single" w:sz="4" w:space="0" w:color="auto"/>
            </w:tcBorders>
            <w:shd w:val="clear" w:color="auto" w:fill="auto"/>
            <w:vAlign w:val="center"/>
            <w:hideMark/>
          </w:tcPr>
          <w:p w14:paraId="28183A0F" w14:textId="3891B3FF" w:rsidR="00553AEA" w:rsidRPr="00553AEA" w:rsidRDefault="0080560B" w:rsidP="00553AEA">
            <w:pPr>
              <w:jc w:val="left"/>
              <w:rPr>
                <w:rFonts w:ascii="Calibri" w:hAnsi="Calibri"/>
                <w:sz w:val="20"/>
                <w:szCs w:val="20"/>
              </w:rPr>
            </w:pPr>
            <w:r>
              <w:rPr>
                <w:rFonts w:ascii="Calibri" w:hAnsi="Calibri"/>
                <w:sz w:val="20"/>
                <w:szCs w:val="20"/>
              </w:rPr>
              <w:t>Rashodi kamata</w:t>
            </w:r>
          </w:p>
        </w:tc>
        <w:tc>
          <w:tcPr>
            <w:tcW w:w="1340" w:type="dxa"/>
            <w:tcBorders>
              <w:top w:val="nil"/>
              <w:left w:val="nil"/>
              <w:bottom w:val="single" w:sz="4" w:space="0" w:color="auto"/>
              <w:right w:val="single" w:sz="4" w:space="0" w:color="auto"/>
            </w:tcBorders>
            <w:shd w:val="clear" w:color="auto" w:fill="auto"/>
            <w:noWrap/>
            <w:vAlign w:val="center"/>
            <w:hideMark/>
          </w:tcPr>
          <w:p w14:paraId="447808BF"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4BF4632C"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273.319,78</w:t>
            </w:r>
          </w:p>
        </w:tc>
        <w:tc>
          <w:tcPr>
            <w:tcW w:w="1080" w:type="dxa"/>
            <w:tcBorders>
              <w:top w:val="nil"/>
              <w:left w:val="nil"/>
              <w:bottom w:val="single" w:sz="4" w:space="0" w:color="auto"/>
              <w:right w:val="single" w:sz="4" w:space="0" w:color="auto"/>
            </w:tcBorders>
            <w:shd w:val="clear" w:color="auto" w:fill="auto"/>
            <w:noWrap/>
            <w:vAlign w:val="center"/>
            <w:hideMark/>
          </w:tcPr>
          <w:p w14:paraId="798D7C60" w14:textId="77777777" w:rsidR="00553AEA" w:rsidRPr="00553AEA" w:rsidRDefault="00553AEA" w:rsidP="00553AEA">
            <w:pPr>
              <w:jc w:val="center"/>
              <w:rPr>
                <w:rFonts w:ascii="Calibri" w:hAnsi="Calibri"/>
                <w:sz w:val="20"/>
                <w:szCs w:val="20"/>
              </w:rPr>
            </w:pPr>
            <w:r w:rsidRPr="00553AEA">
              <w:rPr>
                <w:rFonts w:ascii="Calibri" w:hAnsi="Calibri"/>
                <w:sz w:val="20"/>
                <w:szCs w:val="20"/>
              </w:rPr>
              <w:t> </w:t>
            </w:r>
          </w:p>
        </w:tc>
      </w:tr>
      <w:tr w:rsidR="00553AEA" w:rsidRPr="00553AEA" w14:paraId="005D13F6"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E769714"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610</w:t>
            </w:r>
          </w:p>
        </w:tc>
        <w:tc>
          <w:tcPr>
            <w:tcW w:w="4320" w:type="dxa"/>
            <w:tcBorders>
              <w:top w:val="nil"/>
              <w:left w:val="nil"/>
              <w:bottom w:val="single" w:sz="4" w:space="0" w:color="auto"/>
              <w:right w:val="single" w:sz="4" w:space="0" w:color="auto"/>
            </w:tcBorders>
            <w:shd w:val="clear" w:color="auto" w:fill="auto"/>
            <w:vAlign w:val="center"/>
            <w:hideMark/>
          </w:tcPr>
          <w:p w14:paraId="568EC483" w14:textId="77777777" w:rsidR="00553AEA" w:rsidRPr="00553AEA" w:rsidRDefault="00553AEA" w:rsidP="00553AEA">
            <w:pPr>
              <w:jc w:val="left"/>
              <w:rPr>
                <w:rFonts w:ascii="Calibri" w:hAnsi="Calibri"/>
                <w:sz w:val="20"/>
                <w:szCs w:val="20"/>
              </w:rPr>
            </w:pPr>
            <w:r w:rsidRPr="00553AEA">
              <w:rPr>
                <w:rFonts w:ascii="Calibri" w:hAnsi="Calibri"/>
                <w:sz w:val="20"/>
                <w:szCs w:val="20"/>
              </w:rPr>
              <w:t>Rashodi naknada u domaćoj valuti</w:t>
            </w:r>
          </w:p>
        </w:tc>
        <w:tc>
          <w:tcPr>
            <w:tcW w:w="1340" w:type="dxa"/>
            <w:tcBorders>
              <w:top w:val="nil"/>
              <w:left w:val="nil"/>
              <w:bottom w:val="single" w:sz="4" w:space="0" w:color="auto"/>
              <w:right w:val="single" w:sz="4" w:space="0" w:color="auto"/>
            </w:tcBorders>
            <w:shd w:val="clear" w:color="auto" w:fill="auto"/>
            <w:noWrap/>
            <w:vAlign w:val="center"/>
            <w:hideMark/>
          </w:tcPr>
          <w:p w14:paraId="3E15C54F"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rPr>
              <w:t>7.500,00</w:t>
            </w:r>
          </w:p>
        </w:tc>
        <w:tc>
          <w:tcPr>
            <w:tcW w:w="1320" w:type="dxa"/>
            <w:tcBorders>
              <w:top w:val="nil"/>
              <w:left w:val="nil"/>
              <w:bottom w:val="single" w:sz="4" w:space="0" w:color="auto"/>
              <w:right w:val="single" w:sz="4" w:space="0" w:color="auto"/>
            </w:tcBorders>
            <w:shd w:val="clear" w:color="auto" w:fill="auto"/>
            <w:noWrap/>
            <w:vAlign w:val="center"/>
            <w:hideMark/>
          </w:tcPr>
          <w:p w14:paraId="643F3ADE"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7.777,60</w:t>
            </w:r>
          </w:p>
        </w:tc>
        <w:tc>
          <w:tcPr>
            <w:tcW w:w="1080" w:type="dxa"/>
            <w:tcBorders>
              <w:top w:val="nil"/>
              <w:left w:val="nil"/>
              <w:bottom w:val="single" w:sz="4" w:space="0" w:color="auto"/>
              <w:right w:val="single" w:sz="4" w:space="0" w:color="auto"/>
            </w:tcBorders>
            <w:shd w:val="clear" w:color="auto" w:fill="auto"/>
            <w:noWrap/>
            <w:vAlign w:val="center"/>
            <w:hideMark/>
          </w:tcPr>
          <w:p w14:paraId="68C24850"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103,70</w:t>
            </w:r>
          </w:p>
        </w:tc>
      </w:tr>
      <w:tr w:rsidR="00553AEA" w:rsidRPr="00553AEA" w14:paraId="38369B16" w14:textId="77777777" w:rsidTr="001A4ADE">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DD37141" w14:textId="77777777" w:rsidR="00553AEA" w:rsidRPr="00553AEA" w:rsidRDefault="00553AEA" w:rsidP="00553AEA">
            <w:pPr>
              <w:jc w:val="center"/>
              <w:rPr>
                <w:rFonts w:ascii="Calibri" w:hAnsi="Calibri"/>
                <w:b/>
                <w:sz w:val="20"/>
                <w:szCs w:val="20"/>
              </w:rPr>
            </w:pPr>
            <w:r w:rsidRPr="00553AEA">
              <w:rPr>
                <w:rFonts w:ascii="Calibri" w:hAnsi="Calibri"/>
                <w:b/>
                <w:sz w:val="20"/>
                <w:szCs w:val="20"/>
              </w:rPr>
              <w:t>6410</w:t>
            </w:r>
          </w:p>
        </w:tc>
        <w:tc>
          <w:tcPr>
            <w:tcW w:w="4320" w:type="dxa"/>
            <w:tcBorders>
              <w:top w:val="nil"/>
              <w:left w:val="nil"/>
              <w:bottom w:val="single" w:sz="4" w:space="0" w:color="auto"/>
              <w:right w:val="single" w:sz="4" w:space="0" w:color="auto"/>
            </w:tcBorders>
            <w:shd w:val="clear" w:color="auto" w:fill="auto"/>
            <w:vAlign w:val="center"/>
            <w:hideMark/>
          </w:tcPr>
          <w:p w14:paraId="03AC7687" w14:textId="77777777" w:rsidR="00553AEA" w:rsidRPr="00553AEA" w:rsidRDefault="00553AEA" w:rsidP="00553AEA">
            <w:pPr>
              <w:jc w:val="left"/>
              <w:rPr>
                <w:rFonts w:ascii="Calibri" w:hAnsi="Calibri"/>
                <w:sz w:val="20"/>
                <w:szCs w:val="20"/>
              </w:rPr>
            </w:pPr>
            <w:r w:rsidRPr="00553AEA">
              <w:rPr>
                <w:rFonts w:ascii="Calibri" w:hAnsi="Calibri"/>
                <w:sz w:val="20"/>
                <w:szCs w:val="20"/>
              </w:rPr>
              <w:t>Rashodi rezervisanja po vanbilansnoj aktivi</w:t>
            </w:r>
          </w:p>
        </w:tc>
        <w:tc>
          <w:tcPr>
            <w:tcW w:w="1340" w:type="dxa"/>
            <w:tcBorders>
              <w:top w:val="nil"/>
              <w:left w:val="nil"/>
              <w:bottom w:val="single" w:sz="4" w:space="0" w:color="auto"/>
              <w:right w:val="single" w:sz="4" w:space="0" w:color="auto"/>
            </w:tcBorders>
            <w:shd w:val="clear" w:color="auto" w:fill="auto"/>
            <w:noWrap/>
            <w:vAlign w:val="center"/>
            <w:hideMark/>
          </w:tcPr>
          <w:p w14:paraId="0A4BC576"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rPr>
              <w:t>200.000,00</w:t>
            </w:r>
          </w:p>
        </w:tc>
        <w:tc>
          <w:tcPr>
            <w:tcW w:w="1320" w:type="dxa"/>
            <w:tcBorders>
              <w:top w:val="nil"/>
              <w:left w:val="nil"/>
              <w:bottom w:val="single" w:sz="4" w:space="0" w:color="auto"/>
              <w:right w:val="single" w:sz="4" w:space="0" w:color="auto"/>
            </w:tcBorders>
            <w:shd w:val="clear" w:color="auto" w:fill="auto"/>
            <w:noWrap/>
            <w:vAlign w:val="center"/>
            <w:hideMark/>
          </w:tcPr>
          <w:p w14:paraId="17E2F02E"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752.467,91</w:t>
            </w:r>
          </w:p>
        </w:tc>
        <w:tc>
          <w:tcPr>
            <w:tcW w:w="1080" w:type="dxa"/>
            <w:tcBorders>
              <w:top w:val="nil"/>
              <w:left w:val="nil"/>
              <w:bottom w:val="single" w:sz="4" w:space="0" w:color="auto"/>
              <w:right w:val="single" w:sz="4" w:space="0" w:color="auto"/>
            </w:tcBorders>
            <w:shd w:val="clear" w:color="auto" w:fill="auto"/>
            <w:noWrap/>
            <w:vAlign w:val="center"/>
            <w:hideMark/>
          </w:tcPr>
          <w:p w14:paraId="7824D61A"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376,23</w:t>
            </w:r>
          </w:p>
        </w:tc>
      </w:tr>
      <w:tr w:rsidR="00553AEA" w:rsidRPr="00553AEA" w14:paraId="2DBB1C6E"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1E87FC6" w14:textId="77777777" w:rsidR="00553AEA" w:rsidRPr="00553AEA" w:rsidRDefault="00553AEA" w:rsidP="00553AEA">
            <w:pPr>
              <w:jc w:val="center"/>
              <w:rPr>
                <w:rFonts w:ascii="Calibri" w:hAnsi="Calibri"/>
                <w:b/>
                <w:sz w:val="20"/>
                <w:szCs w:val="20"/>
              </w:rPr>
            </w:pPr>
            <w:r w:rsidRPr="00553AEA">
              <w:rPr>
                <w:rFonts w:ascii="Calibri" w:hAnsi="Calibri"/>
                <w:b/>
                <w:sz w:val="20"/>
                <w:szCs w:val="20"/>
              </w:rPr>
              <w:t>622</w:t>
            </w:r>
          </w:p>
        </w:tc>
        <w:tc>
          <w:tcPr>
            <w:tcW w:w="4320" w:type="dxa"/>
            <w:tcBorders>
              <w:top w:val="nil"/>
              <w:left w:val="nil"/>
              <w:bottom w:val="single" w:sz="4" w:space="0" w:color="auto"/>
              <w:right w:val="single" w:sz="4" w:space="0" w:color="auto"/>
            </w:tcBorders>
            <w:shd w:val="clear" w:color="auto" w:fill="auto"/>
            <w:vAlign w:val="center"/>
            <w:hideMark/>
          </w:tcPr>
          <w:p w14:paraId="6F7A8E2B" w14:textId="77777777" w:rsidR="00553AEA" w:rsidRPr="00553AEA" w:rsidRDefault="00553AEA" w:rsidP="00553AEA">
            <w:pPr>
              <w:jc w:val="left"/>
              <w:rPr>
                <w:rFonts w:ascii="Calibri" w:hAnsi="Calibri"/>
                <w:sz w:val="20"/>
                <w:szCs w:val="20"/>
              </w:rPr>
            </w:pPr>
            <w:r w:rsidRPr="00553AEA">
              <w:rPr>
                <w:rFonts w:ascii="Calibri" w:hAnsi="Calibri"/>
                <w:sz w:val="20"/>
                <w:szCs w:val="20"/>
              </w:rPr>
              <w:t>Gubici po osnovu prestanka priznavanja finansijskih sredstava</w:t>
            </w:r>
          </w:p>
        </w:tc>
        <w:tc>
          <w:tcPr>
            <w:tcW w:w="1340" w:type="dxa"/>
            <w:tcBorders>
              <w:top w:val="nil"/>
              <w:left w:val="nil"/>
              <w:bottom w:val="single" w:sz="4" w:space="0" w:color="auto"/>
              <w:right w:val="single" w:sz="4" w:space="0" w:color="auto"/>
            </w:tcBorders>
            <w:shd w:val="clear" w:color="auto" w:fill="auto"/>
            <w:noWrap/>
            <w:vAlign w:val="center"/>
            <w:hideMark/>
          </w:tcPr>
          <w:p w14:paraId="4BACED26"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4412A970"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63.142,23</w:t>
            </w:r>
          </w:p>
        </w:tc>
        <w:tc>
          <w:tcPr>
            <w:tcW w:w="1080" w:type="dxa"/>
            <w:tcBorders>
              <w:top w:val="nil"/>
              <w:left w:val="nil"/>
              <w:bottom w:val="single" w:sz="4" w:space="0" w:color="auto"/>
              <w:right w:val="single" w:sz="4" w:space="0" w:color="auto"/>
            </w:tcBorders>
            <w:shd w:val="clear" w:color="auto" w:fill="auto"/>
            <w:noWrap/>
            <w:vAlign w:val="center"/>
            <w:hideMark/>
          </w:tcPr>
          <w:p w14:paraId="1AFB1757" w14:textId="77777777" w:rsidR="00553AEA" w:rsidRPr="00553AEA" w:rsidRDefault="00553AEA" w:rsidP="00553AEA">
            <w:pPr>
              <w:jc w:val="center"/>
              <w:rPr>
                <w:rFonts w:ascii="Calibri" w:hAnsi="Calibri"/>
                <w:sz w:val="20"/>
                <w:szCs w:val="20"/>
              </w:rPr>
            </w:pPr>
            <w:r w:rsidRPr="00553AEA">
              <w:rPr>
                <w:rFonts w:ascii="Calibri" w:hAnsi="Calibri"/>
                <w:sz w:val="20"/>
                <w:szCs w:val="20"/>
              </w:rPr>
              <w:t> </w:t>
            </w:r>
          </w:p>
        </w:tc>
      </w:tr>
      <w:tr w:rsidR="00553AEA" w:rsidRPr="00553AEA" w14:paraId="4B980B33"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7E3E67CC"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650</w:t>
            </w:r>
          </w:p>
        </w:tc>
        <w:tc>
          <w:tcPr>
            <w:tcW w:w="4320" w:type="dxa"/>
            <w:tcBorders>
              <w:top w:val="nil"/>
              <w:left w:val="nil"/>
              <w:bottom w:val="single" w:sz="4" w:space="0" w:color="auto"/>
              <w:right w:val="single" w:sz="4" w:space="0" w:color="auto"/>
            </w:tcBorders>
            <w:shd w:val="clear" w:color="000000" w:fill="C5D9F1"/>
            <w:vAlign w:val="center"/>
            <w:hideMark/>
          </w:tcPr>
          <w:p w14:paraId="3B20F405" w14:textId="587B476F" w:rsidR="00553AEA" w:rsidRPr="00553AEA" w:rsidRDefault="00553AEA" w:rsidP="00553AEA">
            <w:pPr>
              <w:jc w:val="left"/>
              <w:rPr>
                <w:rFonts w:ascii="Calibri" w:hAnsi="Calibri"/>
                <w:b/>
                <w:bCs/>
                <w:sz w:val="20"/>
                <w:szCs w:val="20"/>
              </w:rPr>
            </w:pPr>
            <w:r w:rsidRPr="00553AEA">
              <w:rPr>
                <w:rFonts w:ascii="Calibri" w:hAnsi="Calibri"/>
                <w:b/>
                <w:bCs/>
                <w:sz w:val="20"/>
                <w:szCs w:val="20"/>
              </w:rPr>
              <w:t>Troško</w:t>
            </w:r>
            <w:r w:rsidR="0080560B">
              <w:rPr>
                <w:rFonts w:ascii="Calibri" w:hAnsi="Calibri"/>
                <w:b/>
                <w:bCs/>
                <w:sz w:val="20"/>
                <w:szCs w:val="20"/>
              </w:rPr>
              <w:t xml:space="preserve">vi zarada </w:t>
            </w:r>
          </w:p>
        </w:tc>
        <w:tc>
          <w:tcPr>
            <w:tcW w:w="1340" w:type="dxa"/>
            <w:tcBorders>
              <w:top w:val="nil"/>
              <w:left w:val="nil"/>
              <w:bottom w:val="single" w:sz="4" w:space="0" w:color="auto"/>
              <w:right w:val="single" w:sz="4" w:space="0" w:color="auto"/>
            </w:tcBorders>
            <w:shd w:val="clear" w:color="000000" w:fill="C5D9F1"/>
            <w:noWrap/>
            <w:vAlign w:val="center"/>
            <w:hideMark/>
          </w:tcPr>
          <w:p w14:paraId="7A3E47D8"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rPr>
              <w:t>837.744,00</w:t>
            </w:r>
          </w:p>
        </w:tc>
        <w:tc>
          <w:tcPr>
            <w:tcW w:w="1320" w:type="dxa"/>
            <w:tcBorders>
              <w:top w:val="nil"/>
              <w:left w:val="nil"/>
              <w:bottom w:val="single" w:sz="4" w:space="0" w:color="auto"/>
              <w:right w:val="single" w:sz="4" w:space="0" w:color="auto"/>
            </w:tcBorders>
            <w:shd w:val="clear" w:color="000000" w:fill="C5D9F1"/>
            <w:noWrap/>
            <w:vAlign w:val="center"/>
            <w:hideMark/>
          </w:tcPr>
          <w:p w14:paraId="4257161D"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791.950,01</w:t>
            </w:r>
          </w:p>
        </w:tc>
        <w:tc>
          <w:tcPr>
            <w:tcW w:w="1080" w:type="dxa"/>
            <w:tcBorders>
              <w:top w:val="nil"/>
              <w:left w:val="nil"/>
              <w:bottom w:val="single" w:sz="4" w:space="0" w:color="auto"/>
              <w:right w:val="single" w:sz="4" w:space="0" w:color="auto"/>
            </w:tcBorders>
            <w:shd w:val="clear" w:color="000000" w:fill="C5D9F1"/>
            <w:noWrap/>
            <w:vAlign w:val="center"/>
            <w:hideMark/>
          </w:tcPr>
          <w:p w14:paraId="21F83F10"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94,53</w:t>
            </w:r>
          </w:p>
        </w:tc>
      </w:tr>
      <w:tr w:rsidR="00553AEA" w:rsidRPr="00553AEA" w14:paraId="423A2A36"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2F27AD2" w14:textId="77777777" w:rsidR="00553AEA" w:rsidRPr="00553AEA" w:rsidRDefault="00553AEA" w:rsidP="00553AEA">
            <w:pPr>
              <w:jc w:val="center"/>
              <w:rPr>
                <w:rFonts w:ascii="Calibri" w:hAnsi="Calibri"/>
                <w:sz w:val="20"/>
                <w:szCs w:val="20"/>
              </w:rPr>
            </w:pPr>
            <w:r w:rsidRPr="00553AEA">
              <w:rPr>
                <w:rFonts w:ascii="Calibri" w:hAnsi="Calibri"/>
                <w:sz w:val="20"/>
                <w:szCs w:val="20"/>
              </w:rPr>
              <w:t>6500</w:t>
            </w:r>
          </w:p>
        </w:tc>
        <w:tc>
          <w:tcPr>
            <w:tcW w:w="4320" w:type="dxa"/>
            <w:tcBorders>
              <w:top w:val="nil"/>
              <w:left w:val="nil"/>
              <w:bottom w:val="single" w:sz="4" w:space="0" w:color="auto"/>
              <w:right w:val="single" w:sz="4" w:space="0" w:color="auto"/>
            </w:tcBorders>
            <w:shd w:val="clear" w:color="auto" w:fill="auto"/>
            <w:vAlign w:val="center"/>
            <w:hideMark/>
          </w:tcPr>
          <w:p w14:paraId="4B5E9538" w14:textId="2BB05BCA" w:rsidR="00553AEA" w:rsidRPr="00553AEA" w:rsidRDefault="00553AEA" w:rsidP="00553AEA">
            <w:pPr>
              <w:jc w:val="left"/>
              <w:rPr>
                <w:rFonts w:ascii="Calibri" w:hAnsi="Calibri"/>
                <w:sz w:val="20"/>
                <w:szCs w:val="20"/>
              </w:rPr>
            </w:pPr>
            <w:r w:rsidRPr="00553AEA">
              <w:rPr>
                <w:rFonts w:ascii="Calibri" w:hAnsi="Calibri"/>
                <w:sz w:val="20"/>
                <w:szCs w:val="20"/>
              </w:rPr>
              <w:t>Troškov</w:t>
            </w:r>
            <w:r w:rsidR="0080560B">
              <w:rPr>
                <w:rFonts w:ascii="Calibri" w:hAnsi="Calibri"/>
                <w:sz w:val="20"/>
                <w:szCs w:val="20"/>
              </w:rPr>
              <w:t xml:space="preserve">i </w:t>
            </w:r>
            <w:r w:rsidRPr="00553AEA">
              <w:rPr>
                <w:rFonts w:ascii="Calibri" w:hAnsi="Calibri"/>
                <w:sz w:val="20"/>
                <w:szCs w:val="20"/>
              </w:rPr>
              <w:t>zarada zapo</w:t>
            </w:r>
            <w:r w:rsidR="0080560B">
              <w:rPr>
                <w:rFonts w:ascii="Calibri" w:hAnsi="Calibri"/>
                <w:sz w:val="20"/>
                <w:szCs w:val="20"/>
              </w:rPr>
              <w:t xml:space="preserve">slenih </w:t>
            </w:r>
          </w:p>
        </w:tc>
        <w:tc>
          <w:tcPr>
            <w:tcW w:w="1340" w:type="dxa"/>
            <w:tcBorders>
              <w:top w:val="nil"/>
              <w:left w:val="nil"/>
              <w:bottom w:val="single" w:sz="4" w:space="0" w:color="auto"/>
              <w:right w:val="single" w:sz="4" w:space="0" w:color="auto"/>
            </w:tcBorders>
            <w:shd w:val="clear" w:color="auto" w:fill="auto"/>
            <w:noWrap/>
            <w:vAlign w:val="center"/>
            <w:hideMark/>
          </w:tcPr>
          <w:p w14:paraId="068F5166" w14:textId="77777777" w:rsidR="00553AEA" w:rsidRPr="00553AEA" w:rsidRDefault="00553AEA" w:rsidP="00553AEA">
            <w:pPr>
              <w:jc w:val="right"/>
              <w:rPr>
                <w:rFonts w:ascii="Calibri" w:hAnsi="Calibri"/>
                <w:sz w:val="20"/>
                <w:szCs w:val="20"/>
              </w:rPr>
            </w:pPr>
            <w:r w:rsidRPr="00553AEA">
              <w:rPr>
                <w:rFonts w:ascii="Calibri" w:hAnsi="Calibri"/>
                <w:sz w:val="20"/>
                <w:szCs w:val="20"/>
              </w:rPr>
              <w:t>768.540,00</w:t>
            </w:r>
          </w:p>
        </w:tc>
        <w:tc>
          <w:tcPr>
            <w:tcW w:w="1320" w:type="dxa"/>
            <w:tcBorders>
              <w:top w:val="nil"/>
              <w:left w:val="nil"/>
              <w:bottom w:val="single" w:sz="4" w:space="0" w:color="auto"/>
              <w:right w:val="single" w:sz="4" w:space="0" w:color="auto"/>
            </w:tcBorders>
            <w:shd w:val="clear" w:color="auto" w:fill="auto"/>
            <w:noWrap/>
            <w:vAlign w:val="center"/>
            <w:hideMark/>
          </w:tcPr>
          <w:p w14:paraId="4332778B"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692.293,51</w:t>
            </w:r>
          </w:p>
        </w:tc>
        <w:tc>
          <w:tcPr>
            <w:tcW w:w="1080" w:type="dxa"/>
            <w:tcBorders>
              <w:top w:val="nil"/>
              <w:left w:val="nil"/>
              <w:bottom w:val="single" w:sz="4" w:space="0" w:color="auto"/>
              <w:right w:val="single" w:sz="4" w:space="0" w:color="auto"/>
            </w:tcBorders>
            <w:shd w:val="clear" w:color="auto" w:fill="auto"/>
            <w:noWrap/>
            <w:vAlign w:val="center"/>
            <w:hideMark/>
          </w:tcPr>
          <w:p w14:paraId="0220DFE6" w14:textId="77777777" w:rsidR="00553AEA" w:rsidRPr="00553AEA" w:rsidRDefault="00553AEA" w:rsidP="00553AEA">
            <w:pPr>
              <w:jc w:val="center"/>
              <w:rPr>
                <w:rFonts w:ascii="Calibri" w:hAnsi="Calibri"/>
                <w:sz w:val="20"/>
                <w:szCs w:val="20"/>
              </w:rPr>
            </w:pPr>
            <w:r w:rsidRPr="00553AEA">
              <w:rPr>
                <w:rFonts w:ascii="Calibri" w:hAnsi="Calibri"/>
                <w:sz w:val="20"/>
                <w:szCs w:val="20"/>
              </w:rPr>
              <w:t>90,08</w:t>
            </w:r>
          </w:p>
        </w:tc>
      </w:tr>
      <w:tr w:rsidR="00553AEA" w:rsidRPr="00553AEA" w14:paraId="20D0056F"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C72212D" w14:textId="77777777" w:rsidR="00553AEA" w:rsidRPr="00553AEA" w:rsidRDefault="00553AEA" w:rsidP="00553AEA">
            <w:pPr>
              <w:jc w:val="center"/>
              <w:rPr>
                <w:rFonts w:ascii="Calibri" w:hAnsi="Calibri"/>
                <w:sz w:val="20"/>
                <w:szCs w:val="20"/>
              </w:rPr>
            </w:pPr>
            <w:r w:rsidRPr="00553AEA">
              <w:rPr>
                <w:rFonts w:ascii="Calibri" w:hAnsi="Calibri"/>
                <w:sz w:val="20"/>
                <w:szCs w:val="20"/>
              </w:rPr>
              <w:t>6501</w:t>
            </w:r>
          </w:p>
        </w:tc>
        <w:tc>
          <w:tcPr>
            <w:tcW w:w="4320" w:type="dxa"/>
            <w:tcBorders>
              <w:top w:val="nil"/>
              <w:left w:val="nil"/>
              <w:bottom w:val="single" w:sz="4" w:space="0" w:color="auto"/>
              <w:right w:val="single" w:sz="4" w:space="0" w:color="auto"/>
            </w:tcBorders>
            <w:shd w:val="clear" w:color="auto" w:fill="auto"/>
            <w:vAlign w:val="center"/>
            <w:hideMark/>
          </w:tcPr>
          <w:p w14:paraId="516F97BC" w14:textId="77777777" w:rsidR="00553AEA" w:rsidRPr="00553AEA" w:rsidRDefault="00553AEA" w:rsidP="00553AEA">
            <w:pPr>
              <w:jc w:val="left"/>
              <w:rPr>
                <w:rFonts w:ascii="Calibri" w:hAnsi="Calibri"/>
                <w:sz w:val="20"/>
                <w:szCs w:val="20"/>
              </w:rPr>
            </w:pPr>
            <w:r w:rsidRPr="00553AEA">
              <w:rPr>
                <w:rFonts w:ascii="Calibri" w:hAnsi="Calibri"/>
                <w:sz w:val="20"/>
                <w:szCs w:val="20"/>
              </w:rPr>
              <w:t>Troškovi naknade – Nadzorni odbor</w:t>
            </w:r>
          </w:p>
        </w:tc>
        <w:tc>
          <w:tcPr>
            <w:tcW w:w="1340" w:type="dxa"/>
            <w:tcBorders>
              <w:top w:val="nil"/>
              <w:left w:val="nil"/>
              <w:bottom w:val="single" w:sz="4" w:space="0" w:color="auto"/>
              <w:right w:val="single" w:sz="4" w:space="0" w:color="auto"/>
            </w:tcBorders>
            <w:shd w:val="clear" w:color="auto" w:fill="auto"/>
            <w:noWrap/>
            <w:vAlign w:val="center"/>
            <w:hideMark/>
          </w:tcPr>
          <w:p w14:paraId="411CDFB6" w14:textId="77777777" w:rsidR="00553AEA" w:rsidRPr="00553AEA" w:rsidRDefault="00553AEA" w:rsidP="00553AEA">
            <w:pPr>
              <w:jc w:val="right"/>
              <w:rPr>
                <w:rFonts w:ascii="Calibri" w:hAnsi="Calibri"/>
                <w:sz w:val="20"/>
                <w:szCs w:val="20"/>
              </w:rPr>
            </w:pPr>
            <w:r w:rsidRPr="00553AEA">
              <w:rPr>
                <w:rFonts w:ascii="Calibri" w:hAnsi="Calibri"/>
                <w:sz w:val="20"/>
                <w:szCs w:val="20"/>
              </w:rPr>
              <w:t>36.000,00</w:t>
            </w:r>
          </w:p>
        </w:tc>
        <w:tc>
          <w:tcPr>
            <w:tcW w:w="1320" w:type="dxa"/>
            <w:tcBorders>
              <w:top w:val="nil"/>
              <w:left w:val="nil"/>
              <w:bottom w:val="single" w:sz="4" w:space="0" w:color="auto"/>
              <w:right w:val="single" w:sz="4" w:space="0" w:color="auto"/>
            </w:tcBorders>
            <w:shd w:val="clear" w:color="auto" w:fill="auto"/>
            <w:noWrap/>
            <w:vAlign w:val="center"/>
            <w:hideMark/>
          </w:tcPr>
          <w:p w14:paraId="0BBF2FD9"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34.500,00</w:t>
            </w:r>
          </w:p>
        </w:tc>
        <w:tc>
          <w:tcPr>
            <w:tcW w:w="1080" w:type="dxa"/>
            <w:tcBorders>
              <w:top w:val="nil"/>
              <w:left w:val="nil"/>
              <w:bottom w:val="single" w:sz="4" w:space="0" w:color="auto"/>
              <w:right w:val="single" w:sz="4" w:space="0" w:color="auto"/>
            </w:tcBorders>
            <w:shd w:val="clear" w:color="auto" w:fill="auto"/>
            <w:noWrap/>
            <w:vAlign w:val="center"/>
            <w:hideMark/>
          </w:tcPr>
          <w:p w14:paraId="409B4C6F" w14:textId="77777777" w:rsidR="00553AEA" w:rsidRPr="00553AEA" w:rsidRDefault="00553AEA" w:rsidP="00553AEA">
            <w:pPr>
              <w:jc w:val="center"/>
              <w:rPr>
                <w:rFonts w:ascii="Calibri" w:hAnsi="Calibri"/>
                <w:sz w:val="20"/>
                <w:szCs w:val="20"/>
              </w:rPr>
            </w:pPr>
            <w:r w:rsidRPr="00553AEA">
              <w:rPr>
                <w:rFonts w:ascii="Calibri" w:hAnsi="Calibri"/>
                <w:sz w:val="20"/>
                <w:szCs w:val="20"/>
              </w:rPr>
              <w:t>95,83</w:t>
            </w:r>
          </w:p>
        </w:tc>
      </w:tr>
      <w:tr w:rsidR="00553AEA" w:rsidRPr="00553AEA" w14:paraId="4755DDBC"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76D3542" w14:textId="77777777" w:rsidR="00553AEA" w:rsidRPr="00553AEA" w:rsidRDefault="00553AEA" w:rsidP="00553AEA">
            <w:pPr>
              <w:jc w:val="center"/>
              <w:rPr>
                <w:rFonts w:ascii="Calibri" w:hAnsi="Calibri"/>
                <w:sz w:val="20"/>
                <w:szCs w:val="20"/>
              </w:rPr>
            </w:pPr>
            <w:r w:rsidRPr="00553AEA">
              <w:rPr>
                <w:rFonts w:ascii="Calibri" w:hAnsi="Calibri"/>
                <w:sz w:val="20"/>
                <w:szCs w:val="20"/>
              </w:rPr>
              <w:t>6503</w:t>
            </w:r>
          </w:p>
        </w:tc>
        <w:tc>
          <w:tcPr>
            <w:tcW w:w="4320" w:type="dxa"/>
            <w:tcBorders>
              <w:top w:val="nil"/>
              <w:left w:val="nil"/>
              <w:bottom w:val="single" w:sz="4" w:space="0" w:color="auto"/>
              <w:right w:val="single" w:sz="4" w:space="0" w:color="auto"/>
            </w:tcBorders>
            <w:shd w:val="clear" w:color="auto" w:fill="auto"/>
            <w:vAlign w:val="center"/>
            <w:hideMark/>
          </w:tcPr>
          <w:p w14:paraId="63A11F2F" w14:textId="77777777" w:rsidR="00553AEA" w:rsidRPr="00553AEA" w:rsidRDefault="00553AEA" w:rsidP="00553AEA">
            <w:pPr>
              <w:jc w:val="left"/>
              <w:rPr>
                <w:rFonts w:ascii="Calibri" w:hAnsi="Calibri"/>
                <w:sz w:val="20"/>
                <w:szCs w:val="20"/>
              </w:rPr>
            </w:pPr>
            <w:r w:rsidRPr="00553AEA">
              <w:rPr>
                <w:rFonts w:ascii="Calibri" w:hAnsi="Calibri"/>
                <w:sz w:val="20"/>
                <w:szCs w:val="20"/>
              </w:rPr>
              <w:t>Troškovi zarada – Odbor za reviziju</w:t>
            </w:r>
          </w:p>
        </w:tc>
        <w:tc>
          <w:tcPr>
            <w:tcW w:w="1340" w:type="dxa"/>
            <w:tcBorders>
              <w:top w:val="nil"/>
              <w:left w:val="nil"/>
              <w:bottom w:val="single" w:sz="4" w:space="0" w:color="auto"/>
              <w:right w:val="single" w:sz="4" w:space="0" w:color="auto"/>
            </w:tcBorders>
            <w:shd w:val="clear" w:color="auto" w:fill="auto"/>
            <w:noWrap/>
            <w:vAlign w:val="center"/>
            <w:hideMark/>
          </w:tcPr>
          <w:p w14:paraId="373631BB" w14:textId="77777777" w:rsidR="00553AEA" w:rsidRPr="00553AEA" w:rsidRDefault="00553AEA" w:rsidP="00553AEA">
            <w:pPr>
              <w:jc w:val="right"/>
              <w:rPr>
                <w:rFonts w:ascii="Calibri" w:hAnsi="Calibri"/>
                <w:sz w:val="20"/>
                <w:szCs w:val="20"/>
              </w:rPr>
            </w:pPr>
            <w:r w:rsidRPr="00553AEA">
              <w:rPr>
                <w:rFonts w:ascii="Calibri" w:hAnsi="Calibri"/>
                <w:sz w:val="20"/>
                <w:szCs w:val="20"/>
              </w:rPr>
              <w:t>14.400,00</w:t>
            </w:r>
          </w:p>
        </w:tc>
        <w:tc>
          <w:tcPr>
            <w:tcW w:w="1320" w:type="dxa"/>
            <w:tcBorders>
              <w:top w:val="nil"/>
              <w:left w:val="nil"/>
              <w:bottom w:val="single" w:sz="4" w:space="0" w:color="auto"/>
              <w:right w:val="single" w:sz="4" w:space="0" w:color="auto"/>
            </w:tcBorders>
            <w:shd w:val="clear" w:color="auto" w:fill="auto"/>
            <w:noWrap/>
            <w:vAlign w:val="center"/>
            <w:hideMark/>
          </w:tcPr>
          <w:p w14:paraId="351E9CBD"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12.420,00</w:t>
            </w:r>
          </w:p>
        </w:tc>
        <w:tc>
          <w:tcPr>
            <w:tcW w:w="1080" w:type="dxa"/>
            <w:tcBorders>
              <w:top w:val="nil"/>
              <w:left w:val="nil"/>
              <w:bottom w:val="single" w:sz="4" w:space="0" w:color="auto"/>
              <w:right w:val="single" w:sz="4" w:space="0" w:color="auto"/>
            </w:tcBorders>
            <w:shd w:val="clear" w:color="auto" w:fill="auto"/>
            <w:noWrap/>
            <w:vAlign w:val="center"/>
            <w:hideMark/>
          </w:tcPr>
          <w:p w14:paraId="726FD546" w14:textId="77777777" w:rsidR="00553AEA" w:rsidRPr="00553AEA" w:rsidRDefault="00553AEA" w:rsidP="00553AEA">
            <w:pPr>
              <w:jc w:val="center"/>
              <w:rPr>
                <w:rFonts w:ascii="Calibri" w:hAnsi="Calibri"/>
                <w:sz w:val="20"/>
                <w:szCs w:val="20"/>
              </w:rPr>
            </w:pPr>
            <w:r w:rsidRPr="00553AEA">
              <w:rPr>
                <w:rFonts w:ascii="Calibri" w:hAnsi="Calibri"/>
                <w:sz w:val="20"/>
                <w:szCs w:val="20"/>
              </w:rPr>
              <w:t>86,25</w:t>
            </w:r>
          </w:p>
        </w:tc>
      </w:tr>
      <w:tr w:rsidR="00553AEA" w:rsidRPr="00553AEA" w14:paraId="2DB0A732"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4284026" w14:textId="77777777" w:rsidR="00553AEA" w:rsidRPr="00553AEA" w:rsidRDefault="00553AEA" w:rsidP="00553AEA">
            <w:pPr>
              <w:jc w:val="center"/>
              <w:rPr>
                <w:rFonts w:ascii="Calibri" w:hAnsi="Calibri"/>
                <w:sz w:val="20"/>
                <w:szCs w:val="20"/>
              </w:rPr>
            </w:pPr>
            <w:r w:rsidRPr="00553AEA">
              <w:rPr>
                <w:rFonts w:ascii="Calibri" w:hAnsi="Calibri"/>
                <w:sz w:val="20"/>
                <w:szCs w:val="20"/>
              </w:rPr>
              <w:t>6504</w:t>
            </w:r>
          </w:p>
        </w:tc>
        <w:tc>
          <w:tcPr>
            <w:tcW w:w="4320" w:type="dxa"/>
            <w:tcBorders>
              <w:top w:val="nil"/>
              <w:left w:val="nil"/>
              <w:bottom w:val="single" w:sz="4" w:space="0" w:color="auto"/>
              <w:right w:val="single" w:sz="4" w:space="0" w:color="auto"/>
            </w:tcBorders>
            <w:shd w:val="clear" w:color="auto" w:fill="auto"/>
            <w:vAlign w:val="center"/>
            <w:hideMark/>
          </w:tcPr>
          <w:p w14:paraId="5731DD40" w14:textId="77777777" w:rsidR="00553AEA" w:rsidRPr="00553AEA" w:rsidRDefault="00553AEA" w:rsidP="00553AEA">
            <w:pPr>
              <w:jc w:val="left"/>
              <w:rPr>
                <w:rFonts w:ascii="Calibri" w:hAnsi="Calibri"/>
                <w:sz w:val="20"/>
                <w:szCs w:val="20"/>
              </w:rPr>
            </w:pPr>
            <w:r w:rsidRPr="00553AEA">
              <w:rPr>
                <w:rFonts w:ascii="Calibri" w:hAnsi="Calibri"/>
                <w:sz w:val="20"/>
                <w:szCs w:val="20"/>
              </w:rPr>
              <w:t>Troškovi zarada – direktor interne revizije</w:t>
            </w:r>
          </w:p>
        </w:tc>
        <w:tc>
          <w:tcPr>
            <w:tcW w:w="1340" w:type="dxa"/>
            <w:tcBorders>
              <w:top w:val="nil"/>
              <w:left w:val="nil"/>
              <w:bottom w:val="single" w:sz="4" w:space="0" w:color="auto"/>
              <w:right w:val="single" w:sz="4" w:space="0" w:color="auto"/>
            </w:tcBorders>
            <w:shd w:val="clear" w:color="auto" w:fill="auto"/>
            <w:noWrap/>
            <w:vAlign w:val="center"/>
            <w:hideMark/>
          </w:tcPr>
          <w:p w14:paraId="2F01CC39" w14:textId="77777777" w:rsidR="00553AEA" w:rsidRPr="00553AEA" w:rsidRDefault="00553AEA" w:rsidP="00553AEA">
            <w:pPr>
              <w:jc w:val="right"/>
              <w:rPr>
                <w:rFonts w:ascii="Calibri" w:hAnsi="Calibri"/>
                <w:sz w:val="20"/>
                <w:szCs w:val="20"/>
              </w:rPr>
            </w:pPr>
            <w:r w:rsidRPr="00553AEA">
              <w:rPr>
                <w:rFonts w:ascii="Calibri" w:hAnsi="Calibri"/>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14:paraId="730476BA"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5.520,00</w:t>
            </w:r>
          </w:p>
        </w:tc>
        <w:tc>
          <w:tcPr>
            <w:tcW w:w="1080" w:type="dxa"/>
            <w:tcBorders>
              <w:top w:val="nil"/>
              <w:left w:val="nil"/>
              <w:bottom w:val="single" w:sz="4" w:space="0" w:color="auto"/>
              <w:right w:val="single" w:sz="4" w:space="0" w:color="auto"/>
            </w:tcBorders>
            <w:shd w:val="clear" w:color="auto" w:fill="auto"/>
            <w:noWrap/>
            <w:vAlign w:val="center"/>
            <w:hideMark/>
          </w:tcPr>
          <w:p w14:paraId="0D4BBD7A" w14:textId="77777777" w:rsidR="00553AEA" w:rsidRPr="00553AEA" w:rsidRDefault="00553AEA" w:rsidP="00553AEA">
            <w:pPr>
              <w:jc w:val="center"/>
              <w:rPr>
                <w:rFonts w:ascii="Calibri" w:hAnsi="Calibri"/>
                <w:sz w:val="20"/>
                <w:szCs w:val="20"/>
              </w:rPr>
            </w:pPr>
            <w:r w:rsidRPr="00553AEA">
              <w:rPr>
                <w:rFonts w:ascii="Calibri" w:hAnsi="Calibri"/>
                <w:sz w:val="20"/>
                <w:szCs w:val="20"/>
              </w:rPr>
              <w:t>92,00</w:t>
            </w:r>
          </w:p>
        </w:tc>
      </w:tr>
      <w:tr w:rsidR="00553AEA" w:rsidRPr="00553AEA" w14:paraId="3BD93563"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D0AF3A4" w14:textId="77777777" w:rsidR="00553AEA" w:rsidRPr="00553AEA" w:rsidRDefault="00553AEA" w:rsidP="00553AEA">
            <w:pPr>
              <w:jc w:val="center"/>
              <w:rPr>
                <w:rFonts w:ascii="Calibri" w:hAnsi="Calibri"/>
                <w:sz w:val="20"/>
                <w:szCs w:val="20"/>
              </w:rPr>
            </w:pPr>
            <w:r w:rsidRPr="00553AEA">
              <w:rPr>
                <w:rFonts w:ascii="Calibri" w:hAnsi="Calibri"/>
                <w:sz w:val="20"/>
                <w:szCs w:val="20"/>
              </w:rPr>
              <w:t>6505</w:t>
            </w:r>
          </w:p>
        </w:tc>
        <w:tc>
          <w:tcPr>
            <w:tcW w:w="4320" w:type="dxa"/>
            <w:tcBorders>
              <w:top w:val="nil"/>
              <w:left w:val="nil"/>
              <w:bottom w:val="single" w:sz="4" w:space="0" w:color="auto"/>
              <w:right w:val="single" w:sz="4" w:space="0" w:color="auto"/>
            </w:tcBorders>
            <w:shd w:val="clear" w:color="auto" w:fill="auto"/>
            <w:vAlign w:val="center"/>
            <w:hideMark/>
          </w:tcPr>
          <w:p w14:paraId="5831C98C" w14:textId="77777777" w:rsidR="00553AEA" w:rsidRPr="00553AEA" w:rsidRDefault="00553AEA" w:rsidP="00553AEA">
            <w:pPr>
              <w:jc w:val="left"/>
              <w:rPr>
                <w:rFonts w:ascii="Calibri" w:hAnsi="Calibri"/>
                <w:sz w:val="20"/>
                <w:szCs w:val="20"/>
              </w:rPr>
            </w:pPr>
            <w:r w:rsidRPr="00553AEA">
              <w:rPr>
                <w:rFonts w:ascii="Calibri" w:hAnsi="Calibri"/>
                <w:sz w:val="20"/>
                <w:szCs w:val="20"/>
              </w:rPr>
              <w:t>Troškovi Evropskog dobrovoljnog penzijskog fonda</w:t>
            </w:r>
          </w:p>
        </w:tc>
        <w:tc>
          <w:tcPr>
            <w:tcW w:w="1340" w:type="dxa"/>
            <w:tcBorders>
              <w:top w:val="nil"/>
              <w:left w:val="nil"/>
              <w:bottom w:val="single" w:sz="4" w:space="0" w:color="auto"/>
              <w:right w:val="single" w:sz="4" w:space="0" w:color="auto"/>
            </w:tcBorders>
            <w:shd w:val="clear" w:color="auto" w:fill="auto"/>
            <w:noWrap/>
            <w:vAlign w:val="center"/>
            <w:hideMark/>
          </w:tcPr>
          <w:p w14:paraId="090DDA27" w14:textId="77777777" w:rsidR="00553AEA" w:rsidRPr="00553AEA" w:rsidRDefault="00553AEA" w:rsidP="00553AEA">
            <w:pPr>
              <w:jc w:val="right"/>
              <w:rPr>
                <w:rFonts w:ascii="Calibri" w:hAnsi="Calibri"/>
                <w:sz w:val="20"/>
                <w:szCs w:val="20"/>
              </w:rPr>
            </w:pPr>
            <w:r w:rsidRPr="00553AEA">
              <w:rPr>
                <w:rFonts w:ascii="Calibri" w:hAnsi="Calibri"/>
                <w:sz w:val="20"/>
                <w:szCs w:val="20"/>
              </w:rPr>
              <w:t>12.804,00</w:t>
            </w:r>
          </w:p>
        </w:tc>
        <w:tc>
          <w:tcPr>
            <w:tcW w:w="1320" w:type="dxa"/>
            <w:tcBorders>
              <w:top w:val="nil"/>
              <w:left w:val="nil"/>
              <w:bottom w:val="single" w:sz="4" w:space="0" w:color="auto"/>
              <w:right w:val="single" w:sz="4" w:space="0" w:color="auto"/>
            </w:tcBorders>
            <w:shd w:val="clear" w:color="auto" w:fill="auto"/>
            <w:noWrap/>
            <w:vAlign w:val="center"/>
            <w:hideMark/>
          </w:tcPr>
          <w:p w14:paraId="7376B8EC"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10.700,00</w:t>
            </w:r>
          </w:p>
        </w:tc>
        <w:tc>
          <w:tcPr>
            <w:tcW w:w="1080" w:type="dxa"/>
            <w:tcBorders>
              <w:top w:val="nil"/>
              <w:left w:val="nil"/>
              <w:bottom w:val="single" w:sz="4" w:space="0" w:color="auto"/>
              <w:right w:val="single" w:sz="4" w:space="0" w:color="auto"/>
            </w:tcBorders>
            <w:shd w:val="clear" w:color="auto" w:fill="auto"/>
            <w:noWrap/>
            <w:vAlign w:val="center"/>
            <w:hideMark/>
          </w:tcPr>
          <w:p w14:paraId="2CA11CC3" w14:textId="77777777" w:rsidR="00553AEA" w:rsidRPr="00553AEA" w:rsidRDefault="00553AEA" w:rsidP="00553AEA">
            <w:pPr>
              <w:jc w:val="center"/>
              <w:rPr>
                <w:rFonts w:ascii="Calibri" w:hAnsi="Calibri"/>
                <w:sz w:val="20"/>
                <w:szCs w:val="20"/>
              </w:rPr>
            </w:pPr>
            <w:r w:rsidRPr="00553AEA">
              <w:rPr>
                <w:rFonts w:ascii="Calibri" w:hAnsi="Calibri"/>
                <w:sz w:val="20"/>
                <w:szCs w:val="20"/>
              </w:rPr>
              <w:t>83,57</w:t>
            </w:r>
          </w:p>
        </w:tc>
      </w:tr>
      <w:tr w:rsidR="00553AEA" w:rsidRPr="00553AEA" w14:paraId="215353F5"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6E1FAEC" w14:textId="77777777" w:rsidR="00553AEA" w:rsidRPr="00553AEA" w:rsidRDefault="00553AEA" w:rsidP="00553AEA">
            <w:pPr>
              <w:jc w:val="center"/>
              <w:rPr>
                <w:rFonts w:ascii="Calibri" w:hAnsi="Calibri"/>
                <w:sz w:val="20"/>
                <w:szCs w:val="20"/>
              </w:rPr>
            </w:pPr>
            <w:r w:rsidRPr="00553AEA">
              <w:rPr>
                <w:rFonts w:ascii="Calibri" w:hAnsi="Calibri"/>
                <w:sz w:val="20"/>
                <w:szCs w:val="20"/>
              </w:rPr>
              <w:t>6507</w:t>
            </w:r>
          </w:p>
        </w:tc>
        <w:tc>
          <w:tcPr>
            <w:tcW w:w="4320" w:type="dxa"/>
            <w:tcBorders>
              <w:top w:val="nil"/>
              <w:left w:val="nil"/>
              <w:bottom w:val="single" w:sz="4" w:space="0" w:color="auto"/>
              <w:right w:val="single" w:sz="4" w:space="0" w:color="auto"/>
            </w:tcBorders>
            <w:shd w:val="clear" w:color="auto" w:fill="auto"/>
            <w:vAlign w:val="center"/>
            <w:hideMark/>
          </w:tcPr>
          <w:p w14:paraId="7663EF0C" w14:textId="77777777" w:rsidR="00553AEA" w:rsidRPr="00553AEA" w:rsidRDefault="00553AEA" w:rsidP="00553AEA">
            <w:pPr>
              <w:jc w:val="left"/>
              <w:rPr>
                <w:rFonts w:ascii="Calibri" w:hAnsi="Calibri"/>
                <w:sz w:val="20"/>
                <w:szCs w:val="20"/>
              </w:rPr>
            </w:pPr>
            <w:r w:rsidRPr="00553AEA">
              <w:rPr>
                <w:rFonts w:ascii="Calibri" w:hAnsi="Calibri"/>
                <w:sz w:val="20"/>
                <w:szCs w:val="20"/>
              </w:rPr>
              <w:t>Troškovi naknada – Ugovor van radnog odnosa</w:t>
            </w:r>
          </w:p>
        </w:tc>
        <w:tc>
          <w:tcPr>
            <w:tcW w:w="1340" w:type="dxa"/>
            <w:tcBorders>
              <w:top w:val="nil"/>
              <w:left w:val="nil"/>
              <w:bottom w:val="single" w:sz="4" w:space="0" w:color="auto"/>
              <w:right w:val="single" w:sz="4" w:space="0" w:color="auto"/>
            </w:tcBorders>
            <w:shd w:val="clear" w:color="auto" w:fill="auto"/>
            <w:noWrap/>
            <w:vAlign w:val="center"/>
            <w:hideMark/>
          </w:tcPr>
          <w:p w14:paraId="72D68BDA" w14:textId="77777777" w:rsidR="00553AEA" w:rsidRPr="00553AEA" w:rsidRDefault="00553AEA" w:rsidP="00553AEA">
            <w:pPr>
              <w:jc w:val="right"/>
              <w:rPr>
                <w:rFonts w:ascii="Calibri" w:hAnsi="Calibri"/>
                <w:sz w:val="20"/>
                <w:szCs w:val="20"/>
              </w:rPr>
            </w:pPr>
            <w:r w:rsidRPr="00553AEA">
              <w:rPr>
                <w:rFonts w:ascii="Calibri" w:hAnsi="Calibri"/>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2BC02B00"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36.516,50</w:t>
            </w:r>
          </w:p>
        </w:tc>
        <w:tc>
          <w:tcPr>
            <w:tcW w:w="1080" w:type="dxa"/>
            <w:tcBorders>
              <w:top w:val="nil"/>
              <w:left w:val="nil"/>
              <w:bottom w:val="single" w:sz="4" w:space="0" w:color="auto"/>
              <w:right w:val="single" w:sz="4" w:space="0" w:color="auto"/>
            </w:tcBorders>
            <w:shd w:val="clear" w:color="auto" w:fill="auto"/>
            <w:noWrap/>
            <w:vAlign w:val="center"/>
            <w:hideMark/>
          </w:tcPr>
          <w:p w14:paraId="063E5BC5" w14:textId="77777777" w:rsidR="00553AEA" w:rsidRPr="00553AEA" w:rsidRDefault="00553AEA" w:rsidP="00553AEA">
            <w:pPr>
              <w:jc w:val="center"/>
              <w:rPr>
                <w:rFonts w:ascii="Calibri" w:hAnsi="Calibri"/>
                <w:sz w:val="20"/>
                <w:szCs w:val="20"/>
              </w:rPr>
            </w:pPr>
            <w:r w:rsidRPr="00553AEA">
              <w:rPr>
                <w:rFonts w:ascii="Calibri" w:hAnsi="Calibri"/>
                <w:sz w:val="20"/>
                <w:szCs w:val="20"/>
              </w:rPr>
              <w:t> </w:t>
            </w:r>
          </w:p>
        </w:tc>
      </w:tr>
      <w:tr w:rsidR="00553AEA" w:rsidRPr="00553AEA" w14:paraId="2961A3A4"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14C8AB1C"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651</w:t>
            </w:r>
          </w:p>
        </w:tc>
        <w:tc>
          <w:tcPr>
            <w:tcW w:w="4320" w:type="dxa"/>
            <w:tcBorders>
              <w:top w:val="nil"/>
              <w:left w:val="nil"/>
              <w:bottom w:val="single" w:sz="4" w:space="0" w:color="auto"/>
              <w:right w:val="single" w:sz="4" w:space="0" w:color="auto"/>
            </w:tcBorders>
            <w:shd w:val="clear" w:color="000000" w:fill="C5D9F1"/>
            <w:vAlign w:val="center"/>
            <w:hideMark/>
          </w:tcPr>
          <w:p w14:paraId="71590120" w14:textId="77777777" w:rsidR="00553AEA" w:rsidRPr="00553AEA" w:rsidRDefault="00553AEA" w:rsidP="00553AEA">
            <w:pPr>
              <w:jc w:val="left"/>
              <w:rPr>
                <w:rFonts w:ascii="Calibri" w:hAnsi="Calibri"/>
                <w:b/>
                <w:bCs/>
                <w:sz w:val="20"/>
                <w:szCs w:val="20"/>
              </w:rPr>
            </w:pPr>
            <w:r w:rsidRPr="00553AEA">
              <w:rPr>
                <w:rFonts w:ascii="Calibri" w:hAnsi="Calibri"/>
                <w:b/>
                <w:bCs/>
                <w:sz w:val="20"/>
                <w:szCs w:val="20"/>
              </w:rPr>
              <w:t>Troškovi naknada zarada</w:t>
            </w:r>
          </w:p>
        </w:tc>
        <w:tc>
          <w:tcPr>
            <w:tcW w:w="1340" w:type="dxa"/>
            <w:tcBorders>
              <w:top w:val="nil"/>
              <w:left w:val="nil"/>
              <w:bottom w:val="single" w:sz="4" w:space="0" w:color="auto"/>
              <w:right w:val="single" w:sz="4" w:space="0" w:color="auto"/>
            </w:tcBorders>
            <w:shd w:val="clear" w:color="000000" w:fill="C5D9F1"/>
            <w:noWrap/>
            <w:vAlign w:val="center"/>
            <w:hideMark/>
          </w:tcPr>
          <w:p w14:paraId="7E8D0C0D"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rPr>
              <w:t>69.634,25</w:t>
            </w:r>
          </w:p>
        </w:tc>
        <w:tc>
          <w:tcPr>
            <w:tcW w:w="1320" w:type="dxa"/>
            <w:tcBorders>
              <w:top w:val="nil"/>
              <w:left w:val="nil"/>
              <w:bottom w:val="single" w:sz="4" w:space="0" w:color="auto"/>
              <w:right w:val="single" w:sz="4" w:space="0" w:color="auto"/>
            </w:tcBorders>
            <w:shd w:val="clear" w:color="000000" w:fill="C5D9F1"/>
            <w:noWrap/>
            <w:vAlign w:val="center"/>
            <w:hideMark/>
          </w:tcPr>
          <w:p w14:paraId="0414506D"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61.908,87</w:t>
            </w:r>
          </w:p>
        </w:tc>
        <w:tc>
          <w:tcPr>
            <w:tcW w:w="1080" w:type="dxa"/>
            <w:tcBorders>
              <w:top w:val="nil"/>
              <w:left w:val="nil"/>
              <w:bottom w:val="single" w:sz="4" w:space="0" w:color="auto"/>
              <w:right w:val="single" w:sz="4" w:space="0" w:color="auto"/>
            </w:tcBorders>
            <w:shd w:val="clear" w:color="000000" w:fill="C5D9F1"/>
            <w:noWrap/>
            <w:vAlign w:val="center"/>
            <w:hideMark/>
          </w:tcPr>
          <w:p w14:paraId="1A5E2943"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88,91</w:t>
            </w:r>
          </w:p>
        </w:tc>
      </w:tr>
      <w:tr w:rsidR="00553AEA" w:rsidRPr="00553AEA" w14:paraId="771F005A"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1CF9C2D" w14:textId="77777777" w:rsidR="00553AEA" w:rsidRPr="00553AEA" w:rsidRDefault="00553AEA" w:rsidP="00553AEA">
            <w:pPr>
              <w:jc w:val="center"/>
              <w:rPr>
                <w:rFonts w:ascii="Calibri" w:hAnsi="Calibri"/>
                <w:sz w:val="20"/>
                <w:szCs w:val="20"/>
              </w:rPr>
            </w:pPr>
            <w:r w:rsidRPr="00553AEA">
              <w:rPr>
                <w:rFonts w:ascii="Calibri" w:hAnsi="Calibri"/>
                <w:sz w:val="20"/>
                <w:szCs w:val="20"/>
              </w:rPr>
              <w:t>6510</w:t>
            </w:r>
          </w:p>
        </w:tc>
        <w:tc>
          <w:tcPr>
            <w:tcW w:w="4320" w:type="dxa"/>
            <w:tcBorders>
              <w:top w:val="nil"/>
              <w:left w:val="nil"/>
              <w:bottom w:val="single" w:sz="4" w:space="0" w:color="auto"/>
              <w:right w:val="single" w:sz="4" w:space="0" w:color="auto"/>
            </w:tcBorders>
            <w:shd w:val="clear" w:color="auto" w:fill="auto"/>
            <w:vAlign w:val="center"/>
            <w:hideMark/>
          </w:tcPr>
          <w:p w14:paraId="34A73CC5" w14:textId="68BCE530" w:rsidR="00553AEA" w:rsidRPr="00553AEA" w:rsidRDefault="00553AEA" w:rsidP="00553AEA">
            <w:pPr>
              <w:jc w:val="left"/>
              <w:rPr>
                <w:rFonts w:ascii="Calibri" w:hAnsi="Calibri"/>
                <w:sz w:val="20"/>
                <w:szCs w:val="20"/>
              </w:rPr>
            </w:pPr>
            <w:r w:rsidRPr="00553AEA">
              <w:rPr>
                <w:rFonts w:ascii="Calibri" w:hAnsi="Calibri"/>
                <w:sz w:val="20"/>
                <w:szCs w:val="20"/>
              </w:rPr>
              <w:t xml:space="preserve">Naknada </w:t>
            </w:r>
            <w:r w:rsidR="00197675">
              <w:rPr>
                <w:rFonts w:ascii="Calibri" w:hAnsi="Calibri"/>
                <w:sz w:val="20"/>
                <w:szCs w:val="20"/>
              </w:rPr>
              <w:t>topli obrok</w:t>
            </w:r>
          </w:p>
        </w:tc>
        <w:tc>
          <w:tcPr>
            <w:tcW w:w="1340" w:type="dxa"/>
            <w:tcBorders>
              <w:top w:val="nil"/>
              <w:left w:val="nil"/>
              <w:bottom w:val="single" w:sz="4" w:space="0" w:color="auto"/>
              <w:right w:val="single" w:sz="4" w:space="0" w:color="auto"/>
            </w:tcBorders>
            <w:shd w:val="clear" w:color="auto" w:fill="auto"/>
            <w:noWrap/>
            <w:vAlign w:val="center"/>
            <w:hideMark/>
          </w:tcPr>
          <w:p w14:paraId="0ED323EA" w14:textId="77777777" w:rsidR="00553AEA" w:rsidRPr="00553AEA" w:rsidRDefault="00553AEA" w:rsidP="00553AEA">
            <w:pPr>
              <w:jc w:val="right"/>
              <w:rPr>
                <w:rFonts w:ascii="Calibri" w:hAnsi="Calibri"/>
                <w:sz w:val="20"/>
                <w:szCs w:val="20"/>
              </w:rPr>
            </w:pPr>
            <w:r w:rsidRPr="00553AEA">
              <w:rPr>
                <w:rFonts w:ascii="Calibri" w:hAnsi="Calibri"/>
                <w:sz w:val="20"/>
                <w:szCs w:val="20"/>
              </w:rPr>
              <w:t>51.443,00</w:t>
            </w:r>
          </w:p>
        </w:tc>
        <w:tc>
          <w:tcPr>
            <w:tcW w:w="1320" w:type="dxa"/>
            <w:tcBorders>
              <w:top w:val="nil"/>
              <w:left w:val="nil"/>
              <w:bottom w:val="single" w:sz="4" w:space="0" w:color="auto"/>
              <w:right w:val="single" w:sz="4" w:space="0" w:color="auto"/>
            </w:tcBorders>
            <w:shd w:val="clear" w:color="auto" w:fill="auto"/>
            <w:noWrap/>
            <w:vAlign w:val="center"/>
            <w:hideMark/>
          </w:tcPr>
          <w:p w14:paraId="55159362"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40.325,37</w:t>
            </w:r>
          </w:p>
        </w:tc>
        <w:tc>
          <w:tcPr>
            <w:tcW w:w="1080" w:type="dxa"/>
            <w:tcBorders>
              <w:top w:val="nil"/>
              <w:left w:val="nil"/>
              <w:bottom w:val="single" w:sz="4" w:space="0" w:color="auto"/>
              <w:right w:val="single" w:sz="4" w:space="0" w:color="auto"/>
            </w:tcBorders>
            <w:shd w:val="clear" w:color="auto" w:fill="auto"/>
            <w:noWrap/>
            <w:vAlign w:val="center"/>
            <w:hideMark/>
          </w:tcPr>
          <w:p w14:paraId="37C40C77" w14:textId="77777777" w:rsidR="00553AEA" w:rsidRPr="00553AEA" w:rsidRDefault="00553AEA" w:rsidP="00553AEA">
            <w:pPr>
              <w:jc w:val="center"/>
              <w:rPr>
                <w:rFonts w:ascii="Calibri" w:hAnsi="Calibri"/>
                <w:sz w:val="20"/>
                <w:szCs w:val="20"/>
              </w:rPr>
            </w:pPr>
            <w:r w:rsidRPr="00553AEA">
              <w:rPr>
                <w:rFonts w:ascii="Calibri" w:hAnsi="Calibri"/>
                <w:sz w:val="20"/>
                <w:szCs w:val="20"/>
              </w:rPr>
              <w:t>78,39</w:t>
            </w:r>
          </w:p>
        </w:tc>
      </w:tr>
      <w:tr w:rsidR="00553AEA" w:rsidRPr="00553AEA" w14:paraId="68898E7C"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B5D75B4" w14:textId="77777777" w:rsidR="00553AEA" w:rsidRPr="00553AEA" w:rsidRDefault="00553AEA" w:rsidP="00553AEA">
            <w:pPr>
              <w:jc w:val="center"/>
              <w:rPr>
                <w:rFonts w:ascii="Calibri" w:hAnsi="Calibri"/>
                <w:sz w:val="20"/>
                <w:szCs w:val="20"/>
              </w:rPr>
            </w:pPr>
            <w:r w:rsidRPr="00553AEA">
              <w:rPr>
                <w:rFonts w:ascii="Calibri" w:hAnsi="Calibri"/>
                <w:sz w:val="20"/>
                <w:szCs w:val="20"/>
              </w:rPr>
              <w:t>6511</w:t>
            </w:r>
          </w:p>
        </w:tc>
        <w:tc>
          <w:tcPr>
            <w:tcW w:w="4320" w:type="dxa"/>
            <w:tcBorders>
              <w:top w:val="nil"/>
              <w:left w:val="nil"/>
              <w:bottom w:val="single" w:sz="4" w:space="0" w:color="auto"/>
              <w:right w:val="single" w:sz="4" w:space="0" w:color="auto"/>
            </w:tcBorders>
            <w:shd w:val="clear" w:color="auto" w:fill="auto"/>
            <w:vAlign w:val="center"/>
            <w:hideMark/>
          </w:tcPr>
          <w:p w14:paraId="4B7961B7" w14:textId="77777777" w:rsidR="00553AEA" w:rsidRPr="00553AEA" w:rsidRDefault="00553AEA" w:rsidP="00553AEA">
            <w:pPr>
              <w:jc w:val="left"/>
              <w:rPr>
                <w:rFonts w:ascii="Calibri" w:hAnsi="Calibri"/>
                <w:sz w:val="20"/>
                <w:szCs w:val="20"/>
              </w:rPr>
            </w:pPr>
            <w:r w:rsidRPr="00553AEA">
              <w:rPr>
                <w:rFonts w:ascii="Calibri" w:hAnsi="Calibri"/>
                <w:sz w:val="20"/>
                <w:szCs w:val="20"/>
              </w:rPr>
              <w:t>Troškovi naknada – regres za godišnji odmor</w:t>
            </w:r>
          </w:p>
        </w:tc>
        <w:tc>
          <w:tcPr>
            <w:tcW w:w="1340" w:type="dxa"/>
            <w:tcBorders>
              <w:top w:val="nil"/>
              <w:left w:val="nil"/>
              <w:bottom w:val="single" w:sz="4" w:space="0" w:color="auto"/>
              <w:right w:val="single" w:sz="4" w:space="0" w:color="auto"/>
            </w:tcBorders>
            <w:shd w:val="clear" w:color="auto" w:fill="auto"/>
            <w:noWrap/>
            <w:vAlign w:val="center"/>
            <w:hideMark/>
          </w:tcPr>
          <w:p w14:paraId="0AA695E8" w14:textId="77777777" w:rsidR="00553AEA" w:rsidRPr="00553AEA" w:rsidRDefault="00553AEA" w:rsidP="00553AEA">
            <w:pPr>
              <w:jc w:val="right"/>
              <w:rPr>
                <w:rFonts w:ascii="Calibri" w:hAnsi="Calibri"/>
                <w:sz w:val="20"/>
                <w:szCs w:val="20"/>
              </w:rPr>
            </w:pPr>
            <w:r w:rsidRPr="00553AEA">
              <w:rPr>
                <w:rFonts w:ascii="Calibri" w:hAnsi="Calibri"/>
                <w:sz w:val="20"/>
                <w:szCs w:val="20"/>
              </w:rPr>
              <w:t>18.191,25</w:t>
            </w:r>
          </w:p>
        </w:tc>
        <w:tc>
          <w:tcPr>
            <w:tcW w:w="1320" w:type="dxa"/>
            <w:tcBorders>
              <w:top w:val="nil"/>
              <w:left w:val="nil"/>
              <w:bottom w:val="single" w:sz="4" w:space="0" w:color="auto"/>
              <w:right w:val="single" w:sz="4" w:space="0" w:color="auto"/>
            </w:tcBorders>
            <w:shd w:val="clear" w:color="auto" w:fill="auto"/>
            <w:noWrap/>
            <w:vAlign w:val="center"/>
            <w:hideMark/>
          </w:tcPr>
          <w:p w14:paraId="33D19264"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21.583,50</w:t>
            </w:r>
          </w:p>
        </w:tc>
        <w:tc>
          <w:tcPr>
            <w:tcW w:w="1080" w:type="dxa"/>
            <w:tcBorders>
              <w:top w:val="nil"/>
              <w:left w:val="nil"/>
              <w:bottom w:val="single" w:sz="4" w:space="0" w:color="auto"/>
              <w:right w:val="single" w:sz="4" w:space="0" w:color="auto"/>
            </w:tcBorders>
            <w:shd w:val="clear" w:color="auto" w:fill="auto"/>
            <w:noWrap/>
            <w:vAlign w:val="center"/>
            <w:hideMark/>
          </w:tcPr>
          <w:p w14:paraId="09E9C725" w14:textId="77777777" w:rsidR="00553AEA" w:rsidRPr="00553AEA" w:rsidRDefault="00553AEA" w:rsidP="00553AEA">
            <w:pPr>
              <w:jc w:val="center"/>
              <w:rPr>
                <w:rFonts w:ascii="Calibri" w:hAnsi="Calibri"/>
                <w:sz w:val="20"/>
                <w:szCs w:val="20"/>
              </w:rPr>
            </w:pPr>
            <w:r w:rsidRPr="00553AEA">
              <w:rPr>
                <w:rFonts w:ascii="Calibri" w:hAnsi="Calibri"/>
                <w:sz w:val="20"/>
                <w:szCs w:val="20"/>
              </w:rPr>
              <w:t>118,65</w:t>
            </w:r>
          </w:p>
        </w:tc>
      </w:tr>
      <w:tr w:rsidR="00553AEA" w:rsidRPr="00553AEA" w14:paraId="1528A4A0"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002C2629"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652</w:t>
            </w:r>
          </w:p>
        </w:tc>
        <w:tc>
          <w:tcPr>
            <w:tcW w:w="4320" w:type="dxa"/>
            <w:tcBorders>
              <w:top w:val="nil"/>
              <w:left w:val="nil"/>
              <w:bottom w:val="single" w:sz="4" w:space="0" w:color="auto"/>
              <w:right w:val="single" w:sz="4" w:space="0" w:color="auto"/>
            </w:tcBorders>
            <w:shd w:val="clear" w:color="000000" w:fill="C5D9F1"/>
            <w:vAlign w:val="center"/>
            <w:hideMark/>
          </w:tcPr>
          <w:p w14:paraId="38C090B7" w14:textId="77777777" w:rsidR="00553AEA" w:rsidRPr="00553AEA" w:rsidRDefault="00553AEA" w:rsidP="00553AEA">
            <w:pPr>
              <w:jc w:val="left"/>
              <w:rPr>
                <w:rFonts w:ascii="Calibri" w:hAnsi="Calibri"/>
                <w:b/>
                <w:bCs/>
                <w:sz w:val="20"/>
                <w:szCs w:val="20"/>
              </w:rPr>
            </w:pPr>
            <w:r w:rsidRPr="00553AEA">
              <w:rPr>
                <w:rFonts w:ascii="Calibri" w:hAnsi="Calibri"/>
                <w:b/>
                <w:bCs/>
                <w:sz w:val="20"/>
                <w:szCs w:val="20"/>
              </w:rPr>
              <w:t>Troškovi poreza na zarade i naknada zarada</w:t>
            </w:r>
          </w:p>
        </w:tc>
        <w:tc>
          <w:tcPr>
            <w:tcW w:w="1340" w:type="dxa"/>
            <w:tcBorders>
              <w:top w:val="nil"/>
              <w:left w:val="nil"/>
              <w:bottom w:val="single" w:sz="4" w:space="0" w:color="auto"/>
              <w:right w:val="single" w:sz="4" w:space="0" w:color="auto"/>
            </w:tcBorders>
            <w:shd w:val="clear" w:color="000000" w:fill="C5D9F1"/>
            <w:noWrap/>
            <w:vAlign w:val="center"/>
            <w:hideMark/>
          </w:tcPr>
          <w:p w14:paraId="4E7CA18F" w14:textId="77777777" w:rsidR="00553AEA" w:rsidRPr="00553AEA" w:rsidRDefault="00553AEA" w:rsidP="00553AEA">
            <w:pPr>
              <w:jc w:val="right"/>
              <w:rPr>
                <w:rFonts w:ascii="Calibri" w:hAnsi="Calibri"/>
                <w:b/>
                <w:bCs/>
                <w:sz w:val="20"/>
                <w:szCs w:val="20"/>
              </w:rPr>
            </w:pPr>
            <w:r w:rsidRPr="00553AEA">
              <w:rPr>
                <w:rFonts w:ascii="Calibri" w:hAnsi="Calibri"/>
                <w:b/>
                <w:bCs/>
                <w:sz w:val="20"/>
                <w:szCs w:val="20"/>
              </w:rPr>
              <w:t>95.141,00</w:t>
            </w:r>
          </w:p>
        </w:tc>
        <w:tc>
          <w:tcPr>
            <w:tcW w:w="1320" w:type="dxa"/>
            <w:tcBorders>
              <w:top w:val="nil"/>
              <w:left w:val="nil"/>
              <w:bottom w:val="single" w:sz="4" w:space="0" w:color="auto"/>
              <w:right w:val="single" w:sz="4" w:space="0" w:color="auto"/>
            </w:tcBorders>
            <w:shd w:val="clear" w:color="000000" w:fill="C5D9F1"/>
            <w:noWrap/>
            <w:vAlign w:val="center"/>
            <w:hideMark/>
          </w:tcPr>
          <w:p w14:paraId="1E4ED473" w14:textId="77777777" w:rsidR="00553AEA" w:rsidRPr="00553AEA" w:rsidRDefault="00553AEA" w:rsidP="00553AEA">
            <w:pPr>
              <w:jc w:val="right"/>
              <w:rPr>
                <w:rFonts w:ascii="Calibri" w:hAnsi="Calibri"/>
                <w:b/>
                <w:bCs/>
                <w:color w:val="auto"/>
                <w:sz w:val="20"/>
                <w:szCs w:val="20"/>
              </w:rPr>
            </w:pPr>
            <w:r w:rsidRPr="00553AEA">
              <w:rPr>
                <w:rFonts w:ascii="Calibri" w:hAnsi="Calibri"/>
                <w:b/>
                <w:bCs/>
                <w:color w:val="auto"/>
                <w:sz w:val="20"/>
                <w:szCs w:val="20"/>
              </w:rPr>
              <w:t>92.702,43</w:t>
            </w:r>
          </w:p>
        </w:tc>
        <w:tc>
          <w:tcPr>
            <w:tcW w:w="1080" w:type="dxa"/>
            <w:tcBorders>
              <w:top w:val="nil"/>
              <w:left w:val="nil"/>
              <w:bottom w:val="single" w:sz="4" w:space="0" w:color="auto"/>
              <w:right w:val="single" w:sz="4" w:space="0" w:color="auto"/>
            </w:tcBorders>
            <w:shd w:val="clear" w:color="000000" w:fill="C5D9F1"/>
            <w:noWrap/>
            <w:vAlign w:val="center"/>
            <w:hideMark/>
          </w:tcPr>
          <w:p w14:paraId="51391006" w14:textId="77777777" w:rsidR="00553AEA" w:rsidRPr="00553AEA" w:rsidRDefault="00553AEA" w:rsidP="00553AEA">
            <w:pPr>
              <w:jc w:val="center"/>
              <w:rPr>
                <w:rFonts w:ascii="Calibri" w:hAnsi="Calibri"/>
                <w:b/>
                <w:bCs/>
                <w:sz w:val="20"/>
                <w:szCs w:val="20"/>
              </w:rPr>
            </w:pPr>
            <w:r w:rsidRPr="00553AEA">
              <w:rPr>
                <w:rFonts w:ascii="Calibri" w:hAnsi="Calibri"/>
                <w:b/>
                <w:bCs/>
                <w:sz w:val="20"/>
                <w:szCs w:val="20"/>
              </w:rPr>
              <w:t>97,44</w:t>
            </w:r>
          </w:p>
        </w:tc>
      </w:tr>
      <w:tr w:rsidR="00553AEA" w:rsidRPr="00553AEA" w14:paraId="37B652F4"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3405DEC" w14:textId="77777777" w:rsidR="00553AEA" w:rsidRPr="00553AEA" w:rsidRDefault="00553AEA" w:rsidP="00553AEA">
            <w:pPr>
              <w:jc w:val="center"/>
              <w:rPr>
                <w:rFonts w:ascii="Calibri" w:hAnsi="Calibri"/>
                <w:sz w:val="20"/>
                <w:szCs w:val="20"/>
              </w:rPr>
            </w:pPr>
            <w:r w:rsidRPr="00553AEA">
              <w:rPr>
                <w:rFonts w:ascii="Calibri" w:hAnsi="Calibri"/>
                <w:sz w:val="20"/>
                <w:szCs w:val="20"/>
              </w:rPr>
              <w:t>6520</w:t>
            </w:r>
          </w:p>
        </w:tc>
        <w:tc>
          <w:tcPr>
            <w:tcW w:w="4320" w:type="dxa"/>
            <w:tcBorders>
              <w:top w:val="nil"/>
              <w:left w:val="nil"/>
              <w:bottom w:val="single" w:sz="4" w:space="0" w:color="auto"/>
              <w:right w:val="single" w:sz="4" w:space="0" w:color="auto"/>
            </w:tcBorders>
            <w:shd w:val="clear" w:color="auto" w:fill="auto"/>
            <w:vAlign w:val="center"/>
            <w:hideMark/>
          </w:tcPr>
          <w:p w14:paraId="676011BB" w14:textId="77777777" w:rsidR="00553AEA" w:rsidRPr="00553AEA" w:rsidRDefault="00553AEA" w:rsidP="00553AEA">
            <w:pPr>
              <w:jc w:val="left"/>
              <w:rPr>
                <w:rFonts w:ascii="Calibri" w:hAnsi="Calibri"/>
                <w:sz w:val="20"/>
                <w:szCs w:val="20"/>
              </w:rPr>
            </w:pPr>
            <w:r w:rsidRPr="00553AEA">
              <w:rPr>
                <w:rFonts w:ascii="Calibri" w:hAnsi="Calibri"/>
                <w:sz w:val="20"/>
                <w:szCs w:val="20"/>
              </w:rPr>
              <w:t>Troškovi poreza za zarade i naknade zarada</w:t>
            </w:r>
          </w:p>
        </w:tc>
        <w:tc>
          <w:tcPr>
            <w:tcW w:w="1340" w:type="dxa"/>
            <w:tcBorders>
              <w:top w:val="nil"/>
              <w:left w:val="nil"/>
              <w:bottom w:val="single" w:sz="4" w:space="0" w:color="auto"/>
              <w:right w:val="single" w:sz="4" w:space="0" w:color="auto"/>
            </w:tcBorders>
            <w:shd w:val="clear" w:color="auto" w:fill="auto"/>
            <w:noWrap/>
            <w:vAlign w:val="center"/>
            <w:hideMark/>
          </w:tcPr>
          <w:p w14:paraId="6B951B75" w14:textId="77777777" w:rsidR="00553AEA" w:rsidRPr="00553AEA" w:rsidRDefault="00553AEA" w:rsidP="00553AEA">
            <w:pPr>
              <w:jc w:val="right"/>
              <w:rPr>
                <w:rFonts w:ascii="Calibri" w:hAnsi="Calibri"/>
                <w:sz w:val="20"/>
                <w:szCs w:val="20"/>
              </w:rPr>
            </w:pPr>
            <w:r w:rsidRPr="00553AEA">
              <w:rPr>
                <w:rFonts w:ascii="Calibri" w:hAnsi="Calibri"/>
                <w:sz w:val="20"/>
                <w:szCs w:val="20"/>
              </w:rPr>
              <w:t>73.646,00</w:t>
            </w:r>
          </w:p>
        </w:tc>
        <w:tc>
          <w:tcPr>
            <w:tcW w:w="1320" w:type="dxa"/>
            <w:tcBorders>
              <w:top w:val="nil"/>
              <w:left w:val="nil"/>
              <w:bottom w:val="single" w:sz="4" w:space="0" w:color="auto"/>
              <w:right w:val="single" w:sz="4" w:space="0" w:color="auto"/>
            </w:tcBorders>
            <w:shd w:val="clear" w:color="auto" w:fill="auto"/>
            <w:noWrap/>
            <w:vAlign w:val="center"/>
            <w:hideMark/>
          </w:tcPr>
          <w:p w14:paraId="524B4041"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66.792,49</w:t>
            </w:r>
          </w:p>
        </w:tc>
        <w:tc>
          <w:tcPr>
            <w:tcW w:w="1080" w:type="dxa"/>
            <w:tcBorders>
              <w:top w:val="nil"/>
              <w:left w:val="nil"/>
              <w:bottom w:val="single" w:sz="4" w:space="0" w:color="auto"/>
              <w:right w:val="single" w:sz="4" w:space="0" w:color="auto"/>
            </w:tcBorders>
            <w:shd w:val="clear" w:color="auto" w:fill="auto"/>
            <w:noWrap/>
            <w:vAlign w:val="center"/>
            <w:hideMark/>
          </w:tcPr>
          <w:p w14:paraId="2BECD50E" w14:textId="77777777" w:rsidR="00553AEA" w:rsidRPr="00553AEA" w:rsidRDefault="00553AEA" w:rsidP="00553AEA">
            <w:pPr>
              <w:jc w:val="center"/>
              <w:rPr>
                <w:rFonts w:ascii="Calibri" w:hAnsi="Calibri"/>
                <w:sz w:val="20"/>
                <w:szCs w:val="20"/>
              </w:rPr>
            </w:pPr>
            <w:r w:rsidRPr="00553AEA">
              <w:rPr>
                <w:rFonts w:ascii="Calibri" w:hAnsi="Calibri"/>
                <w:sz w:val="20"/>
                <w:szCs w:val="20"/>
              </w:rPr>
              <w:t>90,69</w:t>
            </w:r>
          </w:p>
        </w:tc>
      </w:tr>
      <w:tr w:rsidR="00553AEA" w:rsidRPr="00553AEA" w14:paraId="76EAC81F"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8991E73" w14:textId="77777777" w:rsidR="00553AEA" w:rsidRPr="00553AEA" w:rsidRDefault="00553AEA" w:rsidP="00553AEA">
            <w:pPr>
              <w:jc w:val="center"/>
              <w:rPr>
                <w:rFonts w:ascii="Calibri" w:hAnsi="Calibri"/>
                <w:sz w:val="20"/>
                <w:szCs w:val="20"/>
              </w:rPr>
            </w:pPr>
            <w:r w:rsidRPr="00553AEA">
              <w:rPr>
                <w:rFonts w:ascii="Calibri" w:hAnsi="Calibri"/>
                <w:sz w:val="20"/>
                <w:szCs w:val="20"/>
              </w:rPr>
              <w:t>6521</w:t>
            </w:r>
          </w:p>
        </w:tc>
        <w:tc>
          <w:tcPr>
            <w:tcW w:w="4320" w:type="dxa"/>
            <w:tcBorders>
              <w:top w:val="nil"/>
              <w:left w:val="nil"/>
              <w:bottom w:val="single" w:sz="4" w:space="0" w:color="auto"/>
              <w:right w:val="single" w:sz="4" w:space="0" w:color="auto"/>
            </w:tcBorders>
            <w:shd w:val="clear" w:color="auto" w:fill="auto"/>
            <w:vAlign w:val="center"/>
            <w:hideMark/>
          </w:tcPr>
          <w:p w14:paraId="55320A60" w14:textId="6BA883D3" w:rsidR="00553AEA" w:rsidRPr="00553AEA" w:rsidRDefault="00197675" w:rsidP="00553AEA">
            <w:pPr>
              <w:jc w:val="left"/>
              <w:rPr>
                <w:rFonts w:ascii="Calibri" w:hAnsi="Calibri"/>
                <w:sz w:val="20"/>
                <w:szCs w:val="20"/>
              </w:rPr>
            </w:pPr>
            <w:r>
              <w:rPr>
                <w:rFonts w:ascii="Calibri" w:hAnsi="Calibri"/>
                <w:sz w:val="20"/>
                <w:szCs w:val="20"/>
              </w:rPr>
              <w:t>Troškovi poreza za topli obrok</w:t>
            </w:r>
          </w:p>
        </w:tc>
        <w:tc>
          <w:tcPr>
            <w:tcW w:w="1340" w:type="dxa"/>
            <w:tcBorders>
              <w:top w:val="nil"/>
              <w:left w:val="nil"/>
              <w:bottom w:val="single" w:sz="4" w:space="0" w:color="auto"/>
              <w:right w:val="single" w:sz="4" w:space="0" w:color="auto"/>
            </w:tcBorders>
            <w:shd w:val="clear" w:color="auto" w:fill="auto"/>
            <w:noWrap/>
            <w:vAlign w:val="center"/>
            <w:hideMark/>
          </w:tcPr>
          <w:p w14:paraId="7BC4F497" w14:textId="77777777" w:rsidR="00553AEA" w:rsidRPr="00553AEA" w:rsidRDefault="00553AEA" w:rsidP="00553AEA">
            <w:pPr>
              <w:jc w:val="right"/>
              <w:rPr>
                <w:rFonts w:ascii="Calibri" w:hAnsi="Calibri"/>
                <w:sz w:val="20"/>
                <w:szCs w:val="20"/>
              </w:rPr>
            </w:pPr>
            <w:r w:rsidRPr="00553AEA">
              <w:rPr>
                <w:rFonts w:ascii="Calibri" w:hAnsi="Calibri"/>
                <w:sz w:val="20"/>
                <w:szCs w:val="20"/>
              </w:rPr>
              <w:t>6.700,00</w:t>
            </w:r>
          </w:p>
        </w:tc>
        <w:tc>
          <w:tcPr>
            <w:tcW w:w="1320" w:type="dxa"/>
            <w:tcBorders>
              <w:top w:val="nil"/>
              <w:left w:val="nil"/>
              <w:bottom w:val="single" w:sz="4" w:space="0" w:color="auto"/>
              <w:right w:val="single" w:sz="4" w:space="0" w:color="auto"/>
            </w:tcBorders>
            <w:shd w:val="clear" w:color="auto" w:fill="auto"/>
            <w:noWrap/>
            <w:vAlign w:val="center"/>
            <w:hideMark/>
          </w:tcPr>
          <w:p w14:paraId="4DE83E63" w14:textId="77777777" w:rsidR="00553AEA" w:rsidRPr="00553AEA" w:rsidRDefault="00553AEA" w:rsidP="00553AEA">
            <w:pPr>
              <w:jc w:val="right"/>
              <w:rPr>
                <w:rFonts w:ascii="Calibri" w:hAnsi="Calibri"/>
                <w:color w:val="auto"/>
                <w:sz w:val="20"/>
                <w:szCs w:val="20"/>
              </w:rPr>
            </w:pPr>
            <w:r w:rsidRPr="00553AEA">
              <w:rPr>
                <w:rFonts w:ascii="Calibri" w:hAnsi="Calibri"/>
                <w:color w:val="auto"/>
                <w:sz w:val="20"/>
                <w:szCs w:val="20"/>
              </w:rPr>
              <w:t>5.288,68</w:t>
            </w:r>
          </w:p>
        </w:tc>
        <w:tc>
          <w:tcPr>
            <w:tcW w:w="1080" w:type="dxa"/>
            <w:tcBorders>
              <w:top w:val="nil"/>
              <w:left w:val="nil"/>
              <w:bottom w:val="single" w:sz="4" w:space="0" w:color="auto"/>
              <w:right w:val="single" w:sz="4" w:space="0" w:color="auto"/>
            </w:tcBorders>
            <w:shd w:val="clear" w:color="auto" w:fill="auto"/>
            <w:noWrap/>
            <w:vAlign w:val="center"/>
            <w:hideMark/>
          </w:tcPr>
          <w:p w14:paraId="61AE4DC7" w14:textId="77777777" w:rsidR="00553AEA" w:rsidRPr="00553AEA" w:rsidRDefault="00553AEA" w:rsidP="00553AEA">
            <w:pPr>
              <w:jc w:val="center"/>
              <w:rPr>
                <w:rFonts w:ascii="Calibri" w:hAnsi="Calibri"/>
                <w:sz w:val="20"/>
                <w:szCs w:val="20"/>
              </w:rPr>
            </w:pPr>
            <w:r w:rsidRPr="00553AEA">
              <w:rPr>
                <w:rFonts w:ascii="Calibri" w:hAnsi="Calibri"/>
                <w:sz w:val="20"/>
                <w:szCs w:val="20"/>
              </w:rPr>
              <w:t>78,94</w:t>
            </w:r>
          </w:p>
        </w:tc>
      </w:tr>
      <w:tr w:rsidR="00A6503C" w:rsidRPr="00553AEA" w14:paraId="08BD5EBE"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D23ED31" w14:textId="77777777" w:rsidR="00A6503C" w:rsidRPr="00553AEA" w:rsidRDefault="00A6503C" w:rsidP="00553AEA">
            <w:pPr>
              <w:jc w:val="center"/>
              <w:rPr>
                <w:rFonts w:ascii="Calibri" w:hAnsi="Calibri"/>
                <w:sz w:val="20"/>
                <w:szCs w:val="20"/>
              </w:rPr>
            </w:pPr>
            <w:r w:rsidRPr="00553AEA">
              <w:rPr>
                <w:rFonts w:ascii="Calibri" w:hAnsi="Calibri"/>
                <w:sz w:val="20"/>
                <w:szCs w:val="20"/>
              </w:rPr>
              <w:t>65213</w:t>
            </w:r>
          </w:p>
        </w:tc>
        <w:tc>
          <w:tcPr>
            <w:tcW w:w="4320" w:type="dxa"/>
            <w:tcBorders>
              <w:top w:val="nil"/>
              <w:left w:val="nil"/>
              <w:bottom w:val="single" w:sz="4" w:space="0" w:color="auto"/>
              <w:right w:val="single" w:sz="4" w:space="0" w:color="auto"/>
            </w:tcBorders>
            <w:shd w:val="clear" w:color="auto" w:fill="auto"/>
            <w:vAlign w:val="center"/>
            <w:hideMark/>
          </w:tcPr>
          <w:p w14:paraId="264F428D"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poreza- Ugovor van ranog odnosa</w:t>
            </w:r>
          </w:p>
        </w:tc>
        <w:tc>
          <w:tcPr>
            <w:tcW w:w="1340" w:type="dxa"/>
            <w:tcBorders>
              <w:top w:val="nil"/>
              <w:left w:val="nil"/>
              <w:bottom w:val="single" w:sz="4" w:space="0" w:color="auto"/>
              <w:right w:val="single" w:sz="4" w:space="0" w:color="auto"/>
            </w:tcBorders>
            <w:shd w:val="clear" w:color="auto" w:fill="auto"/>
            <w:noWrap/>
            <w:vAlign w:val="center"/>
            <w:hideMark/>
          </w:tcPr>
          <w:p w14:paraId="49B8D538" w14:textId="77777777" w:rsidR="00A6503C" w:rsidRPr="00553AEA" w:rsidRDefault="00A6503C" w:rsidP="00553AEA">
            <w:pPr>
              <w:jc w:val="right"/>
              <w:rPr>
                <w:rFonts w:ascii="Calibri" w:hAnsi="Calibri"/>
                <w:sz w:val="20"/>
                <w:szCs w:val="20"/>
              </w:rPr>
            </w:pPr>
            <w:r w:rsidRPr="00553AEA">
              <w:rPr>
                <w:rFonts w:ascii="Calibri" w:hAnsi="Calibri"/>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52D88F72"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5.609,51</w:t>
            </w:r>
          </w:p>
        </w:tc>
        <w:tc>
          <w:tcPr>
            <w:tcW w:w="1080" w:type="dxa"/>
            <w:tcBorders>
              <w:top w:val="nil"/>
              <w:left w:val="nil"/>
              <w:bottom w:val="single" w:sz="4" w:space="0" w:color="auto"/>
              <w:right w:val="single" w:sz="4" w:space="0" w:color="auto"/>
            </w:tcBorders>
            <w:shd w:val="clear" w:color="auto" w:fill="auto"/>
            <w:noWrap/>
            <w:vAlign w:val="center"/>
            <w:hideMark/>
          </w:tcPr>
          <w:p w14:paraId="5903FAE7"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5AB90796" w14:textId="77777777" w:rsidTr="00E2683D">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3E844EF" w14:textId="77777777" w:rsidR="00A6503C" w:rsidRPr="00553AEA" w:rsidRDefault="00A6503C" w:rsidP="00553AEA">
            <w:pPr>
              <w:jc w:val="center"/>
              <w:rPr>
                <w:rFonts w:ascii="Calibri" w:hAnsi="Calibri"/>
                <w:sz w:val="20"/>
                <w:szCs w:val="20"/>
              </w:rPr>
            </w:pPr>
            <w:r w:rsidRPr="00553AEA">
              <w:rPr>
                <w:rFonts w:ascii="Calibri" w:hAnsi="Calibri"/>
                <w:sz w:val="20"/>
                <w:szCs w:val="20"/>
              </w:rPr>
              <w:t>6522</w:t>
            </w:r>
          </w:p>
        </w:tc>
        <w:tc>
          <w:tcPr>
            <w:tcW w:w="4320" w:type="dxa"/>
            <w:tcBorders>
              <w:top w:val="nil"/>
              <w:left w:val="nil"/>
              <w:bottom w:val="single" w:sz="4" w:space="0" w:color="auto"/>
              <w:right w:val="single" w:sz="4" w:space="0" w:color="auto"/>
            </w:tcBorders>
            <w:shd w:val="clear" w:color="auto" w:fill="auto"/>
            <w:vAlign w:val="center"/>
            <w:hideMark/>
          </w:tcPr>
          <w:p w14:paraId="60A98194"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poreza za naknade Nadzorni odbor</w:t>
            </w:r>
          </w:p>
        </w:tc>
        <w:tc>
          <w:tcPr>
            <w:tcW w:w="1340" w:type="dxa"/>
            <w:tcBorders>
              <w:top w:val="nil"/>
              <w:left w:val="nil"/>
              <w:bottom w:val="single" w:sz="4" w:space="0" w:color="auto"/>
              <w:right w:val="single" w:sz="4" w:space="0" w:color="auto"/>
            </w:tcBorders>
            <w:shd w:val="clear" w:color="auto" w:fill="auto"/>
            <w:noWrap/>
            <w:vAlign w:val="center"/>
            <w:hideMark/>
          </w:tcPr>
          <w:p w14:paraId="61DCF529" w14:textId="77777777" w:rsidR="00A6503C" w:rsidRPr="00553AEA" w:rsidRDefault="00A6503C" w:rsidP="00553AEA">
            <w:pPr>
              <w:jc w:val="right"/>
              <w:rPr>
                <w:rFonts w:ascii="Calibri" w:hAnsi="Calibri"/>
                <w:sz w:val="20"/>
                <w:szCs w:val="20"/>
              </w:rPr>
            </w:pPr>
            <w:r w:rsidRPr="00553AEA">
              <w:rPr>
                <w:rFonts w:ascii="Calibri" w:hAnsi="Calibri"/>
                <w:sz w:val="20"/>
                <w:szCs w:val="20"/>
              </w:rPr>
              <w:t>5.390,00</w:t>
            </w:r>
          </w:p>
        </w:tc>
        <w:tc>
          <w:tcPr>
            <w:tcW w:w="1320" w:type="dxa"/>
            <w:tcBorders>
              <w:top w:val="nil"/>
              <w:left w:val="nil"/>
              <w:bottom w:val="single" w:sz="4" w:space="0" w:color="auto"/>
              <w:right w:val="single" w:sz="4" w:space="0" w:color="auto"/>
            </w:tcBorders>
            <w:shd w:val="clear" w:color="auto" w:fill="auto"/>
            <w:noWrap/>
            <w:vAlign w:val="center"/>
            <w:hideMark/>
          </w:tcPr>
          <w:p w14:paraId="74B62366"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5.155,35</w:t>
            </w:r>
          </w:p>
        </w:tc>
        <w:tc>
          <w:tcPr>
            <w:tcW w:w="1080" w:type="dxa"/>
            <w:tcBorders>
              <w:top w:val="nil"/>
              <w:left w:val="nil"/>
              <w:bottom w:val="single" w:sz="4" w:space="0" w:color="auto"/>
              <w:right w:val="single" w:sz="4" w:space="0" w:color="auto"/>
            </w:tcBorders>
            <w:shd w:val="clear" w:color="auto" w:fill="auto"/>
            <w:noWrap/>
            <w:vAlign w:val="center"/>
            <w:hideMark/>
          </w:tcPr>
          <w:p w14:paraId="0A78E36A" w14:textId="77777777" w:rsidR="00A6503C" w:rsidRPr="00553AEA" w:rsidRDefault="00A6503C" w:rsidP="00553AEA">
            <w:pPr>
              <w:jc w:val="center"/>
              <w:rPr>
                <w:rFonts w:ascii="Calibri" w:hAnsi="Calibri"/>
                <w:sz w:val="20"/>
                <w:szCs w:val="20"/>
              </w:rPr>
            </w:pPr>
            <w:r w:rsidRPr="00553AEA">
              <w:rPr>
                <w:rFonts w:ascii="Calibri" w:hAnsi="Calibri"/>
                <w:sz w:val="20"/>
                <w:szCs w:val="20"/>
              </w:rPr>
              <w:t>95,65</w:t>
            </w:r>
          </w:p>
        </w:tc>
      </w:tr>
      <w:tr w:rsidR="00A6503C" w:rsidRPr="00553AEA" w14:paraId="538801BC" w14:textId="77777777" w:rsidTr="00E2683D">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4FA89" w14:textId="77777777" w:rsidR="00A6503C" w:rsidRPr="00553AEA" w:rsidRDefault="00A6503C" w:rsidP="00553AEA">
            <w:pPr>
              <w:jc w:val="center"/>
              <w:rPr>
                <w:rFonts w:ascii="Calibri" w:hAnsi="Calibri"/>
                <w:sz w:val="20"/>
                <w:szCs w:val="20"/>
              </w:rPr>
            </w:pPr>
            <w:r w:rsidRPr="00553AEA">
              <w:rPr>
                <w:rFonts w:ascii="Calibri" w:hAnsi="Calibri"/>
                <w:sz w:val="20"/>
                <w:szCs w:val="20"/>
              </w:rPr>
              <w:t>6523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7EC029B"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poreza po poreskoj kartici</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42CCDEC" w14:textId="77777777" w:rsidR="00A6503C" w:rsidRPr="00553AEA" w:rsidRDefault="00A6503C" w:rsidP="00553AEA">
            <w:pPr>
              <w:jc w:val="right"/>
              <w:rPr>
                <w:rFonts w:ascii="Calibri" w:hAnsi="Calibri"/>
                <w:sz w:val="20"/>
                <w:szCs w:val="20"/>
              </w:rPr>
            </w:pPr>
            <w:r w:rsidRPr="00553AEA">
              <w:rPr>
                <w:rFonts w:ascii="Calibri" w:hAnsi="Calibri"/>
                <w:sz w:val="20"/>
                <w:szCs w:val="20"/>
              </w:rPr>
              <w:t>1.450,00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5E4B9DE"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1.915,44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2BB390A" w14:textId="77777777" w:rsidR="00A6503C" w:rsidRPr="00553AEA" w:rsidRDefault="00A6503C" w:rsidP="00553AEA">
            <w:pPr>
              <w:jc w:val="center"/>
              <w:rPr>
                <w:rFonts w:ascii="Calibri" w:hAnsi="Calibri"/>
                <w:sz w:val="20"/>
                <w:szCs w:val="20"/>
              </w:rPr>
            </w:pPr>
            <w:r w:rsidRPr="00553AEA">
              <w:rPr>
                <w:rFonts w:ascii="Calibri" w:hAnsi="Calibri"/>
                <w:sz w:val="20"/>
                <w:szCs w:val="20"/>
              </w:rPr>
              <w:t>132,10</w:t>
            </w:r>
          </w:p>
        </w:tc>
      </w:tr>
      <w:tr w:rsidR="0090033D" w:rsidRPr="00197675" w14:paraId="28A7E6E4" w14:textId="77777777" w:rsidTr="00E2683D">
        <w:trPr>
          <w:trHeight w:val="510"/>
        </w:trPr>
        <w:tc>
          <w:tcPr>
            <w:tcW w:w="88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A2DB2AC" w14:textId="77777777" w:rsidR="0090033D" w:rsidRPr="0090033D" w:rsidRDefault="0090033D" w:rsidP="00C64B1E">
            <w:pPr>
              <w:jc w:val="center"/>
              <w:rPr>
                <w:rFonts w:ascii="Calibri" w:hAnsi="Calibri"/>
                <w:b/>
                <w:bCs/>
                <w:color w:val="auto"/>
                <w:sz w:val="20"/>
                <w:szCs w:val="20"/>
              </w:rPr>
            </w:pPr>
            <w:bookmarkStart w:id="14" w:name="_Hlk170200269"/>
            <w:r w:rsidRPr="0090033D">
              <w:rPr>
                <w:rFonts w:ascii="Calibri" w:hAnsi="Calibri"/>
                <w:b/>
                <w:bCs/>
                <w:color w:val="auto"/>
                <w:sz w:val="20"/>
                <w:szCs w:val="20"/>
              </w:rPr>
              <w:lastRenderedPageBreak/>
              <w:t>Konto</w:t>
            </w:r>
          </w:p>
        </w:tc>
        <w:tc>
          <w:tcPr>
            <w:tcW w:w="432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762C690B" w14:textId="77777777" w:rsidR="0090033D" w:rsidRPr="0090033D" w:rsidRDefault="0090033D" w:rsidP="00C64B1E">
            <w:pPr>
              <w:jc w:val="center"/>
              <w:rPr>
                <w:rFonts w:ascii="Calibri" w:hAnsi="Calibri"/>
                <w:b/>
                <w:bCs/>
                <w:color w:val="auto"/>
                <w:sz w:val="20"/>
                <w:szCs w:val="20"/>
              </w:rPr>
            </w:pPr>
            <w:r w:rsidRPr="0090033D">
              <w:rPr>
                <w:rFonts w:ascii="Calibri" w:hAnsi="Calibri"/>
                <w:b/>
                <w:bCs/>
                <w:color w:val="auto"/>
                <w:sz w:val="20"/>
                <w:szCs w:val="20"/>
              </w:rPr>
              <w:t>Naziv</w:t>
            </w:r>
          </w:p>
        </w:tc>
        <w:tc>
          <w:tcPr>
            <w:tcW w:w="1340"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20C6C5CE" w14:textId="0317192E" w:rsidR="0090033D" w:rsidRPr="0090033D" w:rsidRDefault="0090033D" w:rsidP="00C64B1E">
            <w:pPr>
              <w:jc w:val="center"/>
              <w:rPr>
                <w:rFonts w:ascii="Calibri" w:hAnsi="Calibri"/>
                <w:b/>
                <w:bCs/>
                <w:color w:val="auto"/>
                <w:sz w:val="20"/>
                <w:szCs w:val="20"/>
              </w:rPr>
            </w:pPr>
            <w:r w:rsidRPr="0090033D">
              <w:rPr>
                <w:rFonts w:ascii="Calibri" w:hAnsi="Calibri"/>
                <w:b/>
                <w:bCs/>
                <w:color w:val="auto"/>
                <w:sz w:val="20"/>
                <w:szCs w:val="20"/>
              </w:rPr>
              <w:t xml:space="preserve">Planirano </w:t>
            </w:r>
            <w:r w:rsidR="001A4ADE">
              <w:rPr>
                <w:rFonts w:ascii="Calibri" w:hAnsi="Calibri"/>
                <w:b/>
                <w:bCs/>
                <w:color w:val="auto"/>
                <w:sz w:val="20"/>
                <w:szCs w:val="20"/>
              </w:rPr>
              <w:t xml:space="preserve">u </w:t>
            </w:r>
            <w:r w:rsidRPr="0090033D">
              <w:rPr>
                <w:rFonts w:ascii="Calibri" w:hAnsi="Calibri"/>
                <w:b/>
                <w:bCs/>
                <w:color w:val="auto"/>
                <w:sz w:val="20"/>
                <w:szCs w:val="20"/>
              </w:rPr>
              <w:t>2023. Godin</w:t>
            </w:r>
            <w:r w:rsidR="001A4ADE">
              <w:rPr>
                <w:rFonts w:ascii="Calibri" w:hAnsi="Calibri"/>
                <w:b/>
                <w:bCs/>
                <w:color w:val="auto"/>
                <w:sz w:val="20"/>
                <w:szCs w:val="20"/>
              </w:rPr>
              <w:t>i</w:t>
            </w:r>
          </w:p>
        </w:tc>
        <w:tc>
          <w:tcPr>
            <w:tcW w:w="1320"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049F3E97" w14:textId="77777777" w:rsidR="0090033D" w:rsidRPr="0090033D" w:rsidRDefault="0090033D" w:rsidP="00C64B1E">
            <w:pPr>
              <w:jc w:val="center"/>
              <w:rPr>
                <w:rFonts w:ascii="Calibri" w:hAnsi="Calibri"/>
                <w:b/>
                <w:bCs/>
                <w:color w:val="auto"/>
                <w:sz w:val="20"/>
                <w:szCs w:val="20"/>
              </w:rPr>
            </w:pPr>
            <w:r w:rsidRPr="0090033D">
              <w:rPr>
                <w:rFonts w:ascii="Calibri" w:hAnsi="Calibri"/>
                <w:b/>
                <w:bCs/>
                <w:color w:val="auto"/>
                <w:sz w:val="20"/>
                <w:szCs w:val="20"/>
              </w:rPr>
              <w:t>Ostvareno u 2023. godini</w:t>
            </w:r>
          </w:p>
        </w:tc>
        <w:tc>
          <w:tcPr>
            <w:tcW w:w="1080"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6C30D6A8" w14:textId="77777777" w:rsidR="0090033D" w:rsidRPr="0090033D" w:rsidRDefault="0090033D" w:rsidP="00C64B1E">
            <w:pPr>
              <w:jc w:val="center"/>
              <w:rPr>
                <w:rFonts w:ascii="Calibri" w:hAnsi="Calibri"/>
                <w:b/>
                <w:color w:val="auto"/>
                <w:sz w:val="20"/>
                <w:szCs w:val="20"/>
              </w:rPr>
            </w:pPr>
            <w:r w:rsidRPr="0090033D">
              <w:rPr>
                <w:rFonts w:ascii="Calibri" w:hAnsi="Calibri"/>
                <w:b/>
                <w:color w:val="auto"/>
                <w:sz w:val="20"/>
                <w:szCs w:val="20"/>
              </w:rPr>
              <w:t>Indeks</w:t>
            </w:r>
          </w:p>
        </w:tc>
      </w:tr>
      <w:tr w:rsidR="00A6503C" w:rsidRPr="00553AEA" w14:paraId="14F427CF"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3B75F9E" w14:textId="77777777" w:rsidR="00A6503C" w:rsidRPr="00553AEA" w:rsidRDefault="00A6503C" w:rsidP="00553AEA">
            <w:pPr>
              <w:jc w:val="center"/>
              <w:rPr>
                <w:rFonts w:ascii="Calibri" w:hAnsi="Calibri"/>
                <w:sz w:val="20"/>
                <w:szCs w:val="20"/>
              </w:rPr>
            </w:pPr>
            <w:r w:rsidRPr="00553AEA">
              <w:rPr>
                <w:rFonts w:ascii="Calibri" w:hAnsi="Calibri"/>
                <w:sz w:val="20"/>
                <w:szCs w:val="20"/>
              </w:rPr>
              <w:t>6525</w:t>
            </w:r>
          </w:p>
        </w:tc>
        <w:tc>
          <w:tcPr>
            <w:tcW w:w="4320" w:type="dxa"/>
            <w:tcBorders>
              <w:top w:val="nil"/>
              <w:left w:val="nil"/>
              <w:bottom w:val="single" w:sz="4" w:space="0" w:color="auto"/>
              <w:right w:val="single" w:sz="4" w:space="0" w:color="auto"/>
            </w:tcBorders>
            <w:shd w:val="clear" w:color="auto" w:fill="auto"/>
            <w:vAlign w:val="center"/>
            <w:hideMark/>
          </w:tcPr>
          <w:p w14:paraId="4CDBED77"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poreza na zarade i naknade zarada –regres</w:t>
            </w:r>
          </w:p>
        </w:tc>
        <w:tc>
          <w:tcPr>
            <w:tcW w:w="1340" w:type="dxa"/>
            <w:tcBorders>
              <w:top w:val="nil"/>
              <w:left w:val="nil"/>
              <w:bottom w:val="single" w:sz="4" w:space="0" w:color="auto"/>
              <w:right w:val="single" w:sz="4" w:space="0" w:color="auto"/>
            </w:tcBorders>
            <w:shd w:val="clear" w:color="auto" w:fill="auto"/>
            <w:noWrap/>
            <w:vAlign w:val="center"/>
            <w:hideMark/>
          </w:tcPr>
          <w:p w14:paraId="2C31C97F" w14:textId="77777777" w:rsidR="00A6503C" w:rsidRPr="00553AEA" w:rsidRDefault="00A6503C" w:rsidP="00553AEA">
            <w:pPr>
              <w:jc w:val="right"/>
              <w:rPr>
                <w:rFonts w:ascii="Calibri" w:hAnsi="Calibri"/>
                <w:sz w:val="20"/>
                <w:szCs w:val="20"/>
              </w:rPr>
            </w:pPr>
            <w:r w:rsidRPr="00553AEA">
              <w:rPr>
                <w:rFonts w:ascii="Calibri" w:hAnsi="Calibri"/>
                <w:sz w:val="20"/>
                <w:szCs w:val="20"/>
              </w:rPr>
              <w:t>2.386,00</w:t>
            </w:r>
          </w:p>
        </w:tc>
        <w:tc>
          <w:tcPr>
            <w:tcW w:w="1320" w:type="dxa"/>
            <w:tcBorders>
              <w:top w:val="nil"/>
              <w:left w:val="nil"/>
              <w:bottom w:val="single" w:sz="4" w:space="0" w:color="auto"/>
              <w:right w:val="single" w:sz="4" w:space="0" w:color="auto"/>
            </w:tcBorders>
            <w:shd w:val="clear" w:color="auto" w:fill="auto"/>
            <w:noWrap/>
            <w:vAlign w:val="center"/>
            <w:hideMark/>
          </w:tcPr>
          <w:p w14:paraId="0D0BC9C2"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2.830,63</w:t>
            </w:r>
          </w:p>
        </w:tc>
        <w:tc>
          <w:tcPr>
            <w:tcW w:w="1080" w:type="dxa"/>
            <w:tcBorders>
              <w:top w:val="nil"/>
              <w:left w:val="nil"/>
              <w:bottom w:val="single" w:sz="4" w:space="0" w:color="auto"/>
              <w:right w:val="single" w:sz="4" w:space="0" w:color="auto"/>
            </w:tcBorders>
            <w:shd w:val="clear" w:color="auto" w:fill="auto"/>
            <w:noWrap/>
            <w:vAlign w:val="center"/>
            <w:hideMark/>
          </w:tcPr>
          <w:p w14:paraId="1847C8EF" w14:textId="77777777" w:rsidR="00A6503C" w:rsidRPr="00553AEA" w:rsidRDefault="00A6503C" w:rsidP="00553AEA">
            <w:pPr>
              <w:jc w:val="center"/>
              <w:rPr>
                <w:rFonts w:ascii="Calibri" w:hAnsi="Calibri"/>
                <w:sz w:val="20"/>
                <w:szCs w:val="20"/>
              </w:rPr>
            </w:pPr>
            <w:r w:rsidRPr="00553AEA">
              <w:rPr>
                <w:rFonts w:ascii="Calibri" w:hAnsi="Calibri"/>
                <w:sz w:val="20"/>
                <w:szCs w:val="20"/>
              </w:rPr>
              <w:t>118,63</w:t>
            </w:r>
          </w:p>
        </w:tc>
      </w:tr>
      <w:bookmarkEnd w:id="14"/>
      <w:tr w:rsidR="00A6503C" w:rsidRPr="00553AEA" w14:paraId="261A32B4"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5A7DF67" w14:textId="77777777" w:rsidR="00A6503C" w:rsidRPr="00553AEA" w:rsidRDefault="00A6503C" w:rsidP="00553AEA">
            <w:pPr>
              <w:jc w:val="center"/>
              <w:rPr>
                <w:rFonts w:ascii="Calibri" w:hAnsi="Calibri"/>
                <w:sz w:val="20"/>
                <w:szCs w:val="20"/>
              </w:rPr>
            </w:pPr>
            <w:r w:rsidRPr="00553AEA">
              <w:rPr>
                <w:rFonts w:ascii="Calibri" w:hAnsi="Calibri"/>
                <w:sz w:val="20"/>
                <w:szCs w:val="20"/>
              </w:rPr>
              <w:t>6526</w:t>
            </w:r>
          </w:p>
        </w:tc>
        <w:tc>
          <w:tcPr>
            <w:tcW w:w="4320" w:type="dxa"/>
            <w:tcBorders>
              <w:top w:val="nil"/>
              <w:left w:val="nil"/>
              <w:bottom w:val="single" w:sz="4" w:space="0" w:color="auto"/>
              <w:right w:val="single" w:sz="4" w:space="0" w:color="auto"/>
            </w:tcBorders>
            <w:shd w:val="clear" w:color="auto" w:fill="auto"/>
            <w:vAlign w:val="center"/>
            <w:hideMark/>
          </w:tcPr>
          <w:p w14:paraId="44325CE4"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poreza na zarade i nak. zarada – Odbor za reviziju</w:t>
            </w:r>
          </w:p>
        </w:tc>
        <w:tc>
          <w:tcPr>
            <w:tcW w:w="1340" w:type="dxa"/>
            <w:tcBorders>
              <w:top w:val="nil"/>
              <w:left w:val="nil"/>
              <w:bottom w:val="single" w:sz="4" w:space="0" w:color="auto"/>
              <w:right w:val="single" w:sz="4" w:space="0" w:color="auto"/>
            </w:tcBorders>
            <w:shd w:val="clear" w:color="auto" w:fill="auto"/>
            <w:noWrap/>
            <w:vAlign w:val="center"/>
            <w:hideMark/>
          </w:tcPr>
          <w:p w14:paraId="5B227503" w14:textId="77777777" w:rsidR="00A6503C" w:rsidRPr="00553AEA" w:rsidRDefault="00A6503C" w:rsidP="00553AEA">
            <w:pPr>
              <w:jc w:val="right"/>
              <w:rPr>
                <w:rFonts w:ascii="Calibri" w:hAnsi="Calibri"/>
                <w:sz w:val="20"/>
                <w:szCs w:val="20"/>
              </w:rPr>
            </w:pPr>
            <w:r w:rsidRPr="00553AEA">
              <w:rPr>
                <w:rFonts w:ascii="Calibri" w:hAnsi="Calibri"/>
                <w:sz w:val="20"/>
                <w:szCs w:val="20"/>
              </w:rPr>
              <w:t>2.152,00</w:t>
            </w:r>
          </w:p>
        </w:tc>
        <w:tc>
          <w:tcPr>
            <w:tcW w:w="1320" w:type="dxa"/>
            <w:tcBorders>
              <w:top w:val="nil"/>
              <w:left w:val="nil"/>
              <w:bottom w:val="single" w:sz="4" w:space="0" w:color="auto"/>
              <w:right w:val="single" w:sz="4" w:space="0" w:color="auto"/>
            </w:tcBorders>
            <w:shd w:val="clear" w:color="auto" w:fill="auto"/>
            <w:noWrap/>
            <w:vAlign w:val="center"/>
            <w:hideMark/>
          </w:tcPr>
          <w:p w14:paraId="53EFDA4B"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1.855,80</w:t>
            </w:r>
          </w:p>
        </w:tc>
        <w:tc>
          <w:tcPr>
            <w:tcW w:w="1080" w:type="dxa"/>
            <w:tcBorders>
              <w:top w:val="nil"/>
              <w:left w:val="nil"/>
              <w:bottom w:val="single" w:sz="4" w:space="0" w:color="auto"/>
              <w:right w:val="single" w:sz="4" w:space="0" w:color="auto"/>
            </w:tcBorders>
            <w:shd w:val="clear" w:color="auto" w:fill="auto"/>
            <w:noWrap/>
            <w:vAlign w:val="center"/>
            <w:hideMark/>
          </w:tcPr>
          <w:p w14:paraId="33963FCC" w14:textId="77777777" w:rsidR="00A6503C" w:rsidRPr="00553AEA" w:rsidRDefault="00A6503C" w:rsidP="00553AEA">
            <w:pPr>
              <w:jc w:val="center"/>
              <w:rPr>
                <w:rFonts w:ascii="Calibri" w:hAnsi="Calibri"/>
                <w:sz w:val="20"/>
                <w:szCs w:val="20"/>
              </w:rPr>
            </w:pPr>
            <w:r w:rsidRPr="00553AEA">
              <w:rPr>
                <w:rFonts w:ascii="Calibri" w:hAnsi="Calibri"/>
                <w:sz w:val="20"/>
                <w:szCs w:val="20"/>
              </w:rPr>
              <w:t>86,24</w:t>
            </w:r>
          </w:p>
        </w:tc>
      </w:tr>
      <w:tr w:rsidR="00A6503C" w:rsidRPr="00553AEA" w14:paraId="19809DA4"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617E2B4" w14:textId="77777777" w:rsidR="00A6503C" w:rsidRPr="00553AEA" w:rsidRDefault="00A6503C" w:rsidP="00553AEA">
            <w:pPr>
              <w:jc w:val="center"/>
              <w:rPr>
                <w:rFonts w:ascii="Calibri" w:hAnsi="Calibri"/>
                <w:sz w:val="20"/>
                <w:szCs w:val="20"/>
              </w:rPr>
            </w:pPr>
            <w:r w:rsidRPr="00553AEA">
              <w:rPr>
                <w:rFonts w:ascii="Calibri" w:hAnsi="Calibri"/>
                <w:sz w:val="20"/>
                <w:szCs w:val="20"/>
              </w:rPr>
              <w:t>6527</w:t>
            </w:r>
          </w:p>
        </w:tc>
        <w:tc>
          <w:tcPr>
            <w:tcW w:w="4320" w:type="dxa"/>
            <w:tcBorders>
              <w:top w:val="nil"/>
              <w:left w:val="nil"/>
              <w:bottom w:val="single" w:sz="4" w:space="0" w:color="auto"/>
              <w:right w:val="single" w:sz="4" w:space="0" w:color="auto"/>
            </w:tcBorders>
            <w:shd w:val="clear" w:color="auto" w:fill="auto"/>
            <w:vAlign w:val="center"/>
            <w:hideMark/>
          </w:tcPr>
          <w:p w14:paraId="6D60FFE2"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poreza na zarade i nak.zarada dir.interne revizije</w:t>
            </w:r>
          </w:p>
        </w:tc>
        <w:tc>
          <w:tcPr>
            <w:tcW w:w="1340" w:type="dxa"/>
            <w:tcBorders>
              <w:top w:val="nil"/>
              <w:left w:val="nil"/>
              <w:bottom w:val="single" w:sz="4" w:space="0" w:color="auto"/>
              <w:right w:val="single" w:sz="4" w:space="0" w:color="auto"/>
            </w:tcBorders>
            <w:shd w:val="clear" w:color="auto" w:fill="auto"/>
            <w:noWrap/>
            <w:vAlign w:val="center"/>
            <w:hideMark/>
          </w:tcPr>
          <w:p w14:paraId="3D4581E7" w14:textId="77777777" w:rsidR="00A6503C" w:rsidRPr="00553AEA" w:rsidRDefault="00A6503C" w:rsidP="00553AEA">
            <w:pPr>
              <w:jc w:val="right"/>
              <w:rPr>
                <w:rFonts w:ascii="Calibri" w:hAnsi="Calibri"/>
                <w:sz w:val="20"/>
                <w:szCs w:val="20"/>
              </w:rPr>
            </w:pPr>
            <w:r w:rsidRPr="00553AEA">
              <w:rPr>
                <w:rFonts w:ascii="Calibri" w:hAnsi="Calibri"/>
                <w:sz w:val="20"/>
                <w:szCs w:val="20"/>
              </w:rPr>
              <w:t>897,00</w:t>
            </w:r>
          </w:p>
        </w:tc>
        <w:tc>
          <w:tcPr>
            <w:tcW w:w="1320" w:type="dxa"/>
            <w:tcBorders>
              <w:top w:val="nil"/>
              <w:left w:val="nil"/>
              <w:bottom w:val="single" w:sz="4" w:space="0" w:color="auto"/>
              <w:right w:val="single" w:sz="4" w:space="0" w:color="auto"/>
            </w:tcBorders>
            <w:shd w:val="clear" w:color="auto" w:fill="auto"/>
            <w:noWrap/>
            <w:vAlign w:val="center"/>
            <w:hideMark/>
          </w:tcPr>
          <w:p w14:paraId="2E955E0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824,79</w:t>
            </w:r>
          </w:p>
        </w:tc>
        <w:tc>
          <w:tcPr>
            <w:tcW w:w="1080" w:type="dxa"/>
            <w:tcBorders>
              <w:top w:val="nil"/>
              <w:left w:val="nil"/>
              <w:bottom w:val="single" w:sz="4" w:space="0" w:color="auto"/>
              <w:right w:val="single" w:sz="4" w:space="0" w:color="auto"/>
            </w:tcBorders>
            <w:shd w:val="clear" w:color="auto" w:fill="auto"/>
            <w:noWrap/>
            <w:vAlign w:val="center"/>
            <w:hideMark/>
          </w:tcPr>
          <w:p w14:paraId="3345D81D" w14:textId="77777777" w:rsidR="00A6503C" w:rsidRPr="00553AEA" w:rsidRDefault="00A6503C" w:rsidP="00553AEA">
            <w:pPr>
              <w:jc w:val="center"/>
              <w:rPr>
                <w:rFonts w:ascii="Calibri" w:hAnsi="Calibri"/>
                <w:sz w:val="20"/>
                <w:szCs w:val="20"/>
              </w:rPr>
            </w:pPr>
            <w:r w:rsidRPr="00553AEA">
              <w:rPr>
                <w:rFonts w:ascii="Calibri" w:hAnsi="Calibri"/>
                <w:sz w:val="20"/>
                <w:szCs w:val="20"/>
              </w:rPr>
              <w:t>91,95</w:t>
            </w:r>
          </w:p>
        </w:tc>
      </w:tr>
      <w:tr w:rsidR="00A6503C" w:rsidRPr="00553AEA" w14:paraId="7F366190"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62C4C87" w14:textId="77777777" w:rsidR="00A6503C" w:rsidRPr="00553AEA" w:rsidRDefault="00A6503C" w:rsidP="00553AEA">
            <w:pPr>
              <w:jc w:val="center"/>
              <w:rPr>
                <w:rFonts w:ascii="Calibri" w:hAnsi="Calibri"/>
                <w:sz w:val="20"/>
                <w:szCs w:val="20"/>
              </w:rPr>
            </w:pPr>
            <w:r w:rsidRPr="00553AEA">
              <w:rPr>
                <w:rFonts w:ascii="Calibri" w:hAnsi="Calibri"/>
                <w:sz w:val="20"/>
                <w:szCs w:val="20"/>
              </w:rPr>
              <w:t>6529</w:t>
            </w:r>
          </w:p>
        </w:tc>
        <w:tc>
          <w:tcPr>
            <w:tcW w:w="4320" w:type="dxa"/>
            <w:tcBorders>
              <w:top w:val="nil"/>
              <w:left w:val="nil"/>
              <w:bottom w:val="single" w:sz="4" w:space="0" w:color="auto"/>
              <w:right w:val="single" w:sz="4" w:space="0" w:color="auto"/>
            </w:tcBorders>
            <w:shd w:val="clear" w:color="auto" w:fill="auto"/>
            <w:vAlign w:val="center"/>
            <w:hideMark/>
          </w:tcPr>
          <w:p w14:paraId="1C80E0D7"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poreza na zarade i nak.zarada –porez ugovor o djelu</w:t>
            </w:r>
          </w:p>
        </w:tc>
        <w:tc>
          <w:tcPr>
            <w:tcW w:w="1340" w:type="dxa"/>
            <w:tcBorders>
              <w:top w:val="nil"/>
              <w:left w:val="nil"/>
              <w:bottom w:val="single" w:sz="4" w:space="0" w:color="auto"/>
              <w:right w:val="single" w:sz="4" w:space="0" w:color="auto"/>
            </w:tcBorders>
            <w:shd w:val="clear" w:color="auto" w:fill="auto"/>
            <w:noWrap/>
            <w:vAlign w:val="center"/>
            <w:hideMark/>
          </w:tcPr>
          <w:p w14:paraId="173E4D15" w14:textId="77777777" w:rsidR="00A6503C" w:rsidRPr="00553AEA" w:rsidRDefault="00A6503C" w:rsidP="00553AEA">
            <w:pPr>
              <w:jc w:val="right"/>
              <w:rPr>
                <w:rFonts w:ascii="Calibri" w:hAnsi="Calibri"/>
                <w:sz w:val="20"/>
                <w:szCs w:val="20"/>
              </w:rPr>
            </w:pPr>
            <w:r w:rsidRPr="00553AEA">
              <w:rPr>
                <w:rFonts w:ascii="Calibri" w:hAnsi="Calibri"/>
                <w:sz w:val="20"/>
                <w:szCs w:val="20"/>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4C1FE237"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1.909,74</w:t>
            </w:r>
          </w:p>
        </w:tc>
        <w:tc>
          <w:tcPr>
            <w:tcW w:w="1080" w:type="dxa"/>
            <w:tcBorders>
              <w:top w:val="nil"/>
              <w:left w:val="nil"/>
              <w:bottom w:val="single" w:sz="4" w:space="0" w:color="auto"/>
              <w:right w:val="single" w:sz="4" w:space="0" w:color="auto"/>
            </w:tcBorders>
            <w:shd w:val="clear" w:color="auto" w:fill="auto"/>
            <w:noWrap/>
            <w:vAlign w:val="center"/>
            <w:hideMark/>
          </w:tcPr>
          <w:p w14:paraId="7E362BAC" w14:textId="77777777" w:rsidR="00A6503C" w:rsidRPr="00553AEA" w:rsidRDefault="00A6503C" w:rsidP="00553AEA">
            <w:pPr>
              <w:jc w:val="center"/>
              <w:rPr>
                <w:rFonts w:ascii="Calibri" w:hAnsi="Calibri"/>
                <w:sz w:val="20"/>
                <w:szCs w:val="20"/>
              </w:rPr>
            </w:pPr>
            <w:r w:rsidRPr="00553AEA">
              <w:rPr>
                <w:rFonts w:ascii="Calibri" w:hAnsi="Calibri"/>
                <w:sz w:val="20"/>
                <w:szCs w:val="20"/>
              </w:rPr>
              <w:t>95,49</w:t>
            </w:r>
          </w:p>
        </w:tc>
      </w:tr>
      <w:tr w:rsidR="00A6503C" w:rsidRPr="00553AEA" w14:paraId="50EA593D" w14:textId="77777777" w:rsidTr="001A4ADE">
        <w:trPr>
          <w:trHeight w:val="510"/>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6449C9B8"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653</w:t>
            </w:r>
          </w:p>
        </w:tc>
        <w:tc>
          <w:tcPr>
            <w:tcW w:w="4320" w:type="dxa"/>
            <w:tcBorders>
              <w:top w:val="nil"/>
              <w:left w:val="nil"/>
              <w:bottom w:val="single" w:sz="4" w:space="0" w:color="auto"/>
              <w:right w:val="single" w:sz="4" w:space="0" w:color="auto"/>
            </w:tcBorders>
            <w:shd w:val="clear" w:color="000000" w:fill="C5D9F1"/>
            <w:vAlign w:val="center"/>
            <w:hideMark/>
          </w:tcPr>
          <w:p w14:paraId="7DCC9425" w14:textId="77777777" w:rsidR="00A6503C" w:rsidRPr="00553AEA" w:rsidRDefault="00A6503C" w:rsidP="00553AEA">
            <w:pPr>
              <w:jc w:val="left"/>
              <w:rPr>
                <w:rFonts w:ascii="Calibri" w:hAnsi="Calibri"/>
                <w:b/>
                <w:bCs/>
                <w:sz w:val="20"/>
                <w:szCs w:val="20"/>
              </w:rPr>
            </w:pPr>
            <w:r w:rsidRPr="00553AEA">
              <w:rPr>
                <w:rFonts w:ascii="Calibri" w:hAnsi="Calibri"/>
                <w:b/>
                <w:bCs/>
                <w:sz w:val="20"/>
                <w:szCs w:val="20"/>
              </w:rPr>
              <w:t>Troškovi doprinosa na zarade i naknade zarada</w:t>
            </w:r>
          </w:p>
        </w:tc>
        <w:tc>
          <w:tcPr>
            <w:tcW w:w="1340" w:type="dxa"/>
            <w:tcBorders>
              <w:top w:val="nil"/>
              <w:left w:val="nil"/>
              <w:bottom w:val="single" w:sz="4" w:space="0" w:color="auto"/>
              <w:right w:val="single" w:sz="4" w:space="0" w:color="auto"/>
            </w:tcBorders>
            <w:shd w:val="clear" w:color="000000" w:fill="C5D9F1"/>
            <w:noWrap/>
            <w:vAlign w:val="center"/>
            <w:hideMark/>
          </w:tcPr>
          <w:p w14:paraId="2C5C5CC2"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450.000,00</w:t>
            </w:r>
          </w:p>
        </w:tc>
        <w:tc>
          <w:tcPr>
            <w:tcW w:w="1320" w:type="dxa"/>
            <w:tcBorders>
              <w:top w:val="nil"/>
              <w:left w:val="nil"/>
              <w:bottom w:val="single" w:sz="4" w:space="0" w:color="auto"/>
              <w:right w:val="single" w:sz="4" w:space="0" w:color="auto"/>
            </w:tcBorders>
            <w:shd w:val="clear" w:color="000000" w:fill="C5D9F1"/>
            <w:noWrap/>
            <w:vAlign w:val="center"/>
            <w:hideMark/>
          </w:tcPr>
          <w:p w14:paraId="6E5F4821"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435.557,72</w:t>
            </w:r>
          </w:p>
        </w:tc>
        <w:tc>
          <w:tcPr>
            <w:tcW w:w="1080" w:type="dxa"/>
            <w:tcBorders>
              <w:top w:val="nil"/>
              <w:left w:val="nil"/>
              <w:bottom w:val="single" w:sz="4" w:space="0" w:color="auto"/>
              <w:right w:val="single" w:sz="4" w:space="0" w:color="auto"/>
            </w:tcBorders>
            <w:shd w:val="clear" w:color="000000" w:fill="C5D9F1"/>
            <w:noWrap/>
            <w:vAlign w:val="center"/>
            <w:hideMark/>
          </w:tcPr>
          <w:p w14:paraId="585F0908"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96,79</w:t>
            </w:r>
          </w:p>
        </w:tc>
      </w:tr>
      <w:tr w:rsidR="00A6503C" w:rsidRPr="00553AEA" w14:paraId="35764358"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96E5120" w14:textId="77777777" w:rsidR="00A6503C" w:rsidRPr="00553AEA" w:rsidRDefault="00A6503C" w:rsidP="00553AEA">
            <w:pPr>
              <w:jc w:val="center"/>
              <w:rPr>
                <w:rFonts w:ascii="Calibri" w:hAnsi="Calibri"/>
                <w:sz w:val="20"/>
                <w:szCs w:val="20"/>
              </w:rPr>
            </w:pPr>
            <w:r w:rsidRPr="00553AEA">
              <w:rPr>
                <w:rFonts w:ascii="Calibri" w:hAnsi="Calibri"/>
                <w:sz w:val="20"/>
                <w:szCs w:val="20"/>
              </w:rPr>
              <w:t>6530</w:t>
            </w:r>
          </w:p>
        </w:tc>
        <w:tc>
          <w:tcPr>
            <w:tcW w:w="4320" w:type="dxa"/>
            <w:tcBorders>
              <w:top w:val="nil"/>
              <w:left w:val="nil"/>
              <w:bottom w:val="single" w:sz="4" w:space="0" w:color="auto"/>
              <w:right w:val="single" w:sz="4" w:space="0" w:color="auto"/>
            </w:tcBorders>
            <w:shd w:val="clear" w:color="auto" w:fill="auto"/>
            <w:vAlign w:val="center"/>
            <w:hideMark/>
          </w:tcPr>
          <w:p w14:paraId="282B1BE8"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doprinosa na zarade i naknade zarada</w:t>
            </w:r>
          </w:p>
        </w:tc>
        <w:tc>
          <w:tcPr>
            <w:tcW w:w="1340" w:type="dxa"/>
            <w:tcBorders>
              <w:top w:val="nil"/>
              <w:left w:val="nil"/>
              <w:bottom w:val="single" w:sz="4" w:space="0" w:color="auto"/>
              <w:right w:val="single" w:sz="4" w:space="0" w:color="auto"/>
            </w:tcBorders>
            <w:shd w:val="clear" w:color="auto" w:fill="auto"/>
            <w:noWrap/>
            <w:vAlign w:val="center"/>
            <w:hideMark/>
          </w:tcPr>
          <w:p w14:paraId="18DA609C" w14:textId="77777777" w:rsidR="00A6503C" w:rsidRPr="00553AEA" w:rsidRDefault="00A6503C" w:rsidP="00553AEA">
            <w:pPr>
              <w:jc w:val="right"/>
              <w:rPr>
                <w:rFonts w:ascii="Calibri" w:hAnsi="Calibri"/>
                <w:sz w:val="20"/>
                <w:szCs w:val="20"/>
              </w:rPr>
            </w:pPr>
            <w:r w:rsidRPr="00553AEA">
              <w:rPr>
                <w:rFonts w:ascii="Calibri" w:hAnsi="Calibri"/>
                <w:sz w:val="20"/>
                <w:szCs w:val="20"/>
              </w:rPr>
              <w:t>378.370,00</w:t>
            </w:r>
          </w:p>
        </w:tc>
        <w:tc>
          <w:tcPr>
            <w:tcW w:w="1320" w:type="dxa"/>
            <w:tcBorders>
              <w:top w:val="nil"/>
              <w:left w:val="nil"/>
              <w:bottom w:val="single" w:sz="4" w:space="0" w:color="auto"/>
              <w:right w:val="single" w:sz="4" w:space="0" w:color="auto"/>
            </w:tcBorders>
            <w:shd w:val="clear" w:color="auto" w:fill="auto"/>
            <w:noWrap/>
            <w:vAlign w:val="center"/>
            <w:hideMark/>
          </w:tcPr>
          <w:p w14:paraId="0CB90589"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350.054,67</w:t>
            </w:r>
          </w:p>
        </w:tc>
        <w:tc>
          <w:tcPr>
            <w:tcW w:w="1080" w:type="dxa"/>
            <w:tcBorders>
              <w:top w:val="nil"/>
              <w:left w:val="nil"/>
              <w:bottom w:val="single" w:sz="4" w:space="0" w:color="auto"/>
              <w:right w:val="single" w:sz="4" w:space="0" w:color="auto"/>
            </w:tcBorders>
            <w:shd w:val="clear" w:color="auto" w:fill="auto"/>
            <w:noWrap/>
            <w:vAlign w:val="center"/>
            <w:hideMark/>
          </w:tcPr>
          <w:p w14:paraId="31160979" w14:textId="77777777" w:rsidR="00A6503C" w:rsidRPr="00553AEA" w:rsidRDefault="00A6503C" w:rsidP="00553AEA">
            <w:pPr>
              <w:jc w:val="center"/>
              <w:rPr>
                <w:rFonts w:ascii="Calibri" w:hAnsi="Calibri"/>
                <w:sz w:val="20"/>
                <w:szCs w:val="20"/>
              </w:rPr>
            </w:pPr>
            <w:r w:rsidRPr="00553AEA">
              <w:rPr>
                <w:rFonts w:ascii="Calibri" w:hAnsi="Calibri"/>
                <w:sz w:val="20"/>
                <w:szCs w:val="20"/>
              </w:rPr>
              <w:t>92,52</w:t>
            </w:r>
          </w:p>
        </w:tc>
      </w:tr>
      <w:tr w:rsidR="00A6503C" w:rsidRPr="00553AEA" w14:paraId="0BC2A16C"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5025F63" w14:textId="77777777" w:rsidR="00A6503C" w:rsidRPr="00553AEA" w:rsidRDefault="00A6503C" w:rsidP="00553AEA">
            <w:pPr>
              <w:jc w:val="center"/>
              <w:rPr>
                <w:rFonts w:ascii="Calibri" w:hAnsi="Calibri"/>
                <w:sz w:val="20"/>
                <w:szCs w:val="20"/>
              </w:rPr>
            </w:pPr>
            <w:r w:rsidRPr="00553AEA">
              <w:rPr>
                <w:rFonts w:ascii="Calibri" w:hAnsi="Calibri"/>
                <w:sz w:val="20"/>
                <w:szCs w:val="20"/>
              </w:rPr>
              <w:t>6531</w:t>
            </w:r>
          </w:p>
        </w:tc>
        <w:tc>
          <w:tcPr>
            <w:tcW w:w="4320" w:type="dxa"/>
            <w:tcBorders>
              <w:top w:val="nil"/>
              <w:left w:val="nil"/>
              <w:bottom w:val="single" w:sz="4" w:space="0" w:color="auto"/>
              <w:right w:val="single" w:sz="4" w:space="0" w:color="auto"/>
            </w:tcBorders>
            <w:shd w:val="clear" w:color="auto" w:fill="auto"/>
            <w:vAlign w:val="center"/>
            <w:hideMark/>
          </w:tcPr>
          <w:p w14:paraId="17121955" w14:textId="77777777" w:rsidR="00A6503C" w:rsidRPr="00553AEA" w:rsidRDefault="00A6503C" w:rsidP="00553AEA">
            <w:pPr>
              <w:jc w:val="left"/>
              <w:rPr>
                <w:rFonts w:ascii="Calibri" w:hAnsi="Calibri"/>
                <w:sz w:val="20"/>
                <w:szCs w:val="20"/>
              </w:rPr>
            </w:pPr>
            <w:r w:rsidRPr="00553AEA">
              <w:rPr>
                <w:rFonts w:ascii="Calibri" w:hAnsi="Calibri"/>
                <w:sz w:val="20"/>
                <w:szCs w:val="20"/>
              </w:rPr>
              <w:t>Cena doprinosa za topli obrok</w:t>
            </w:r>
          </w:p>
        </w:tc>
        <w:tc>
          <w:tcPr>
            <w:tcW w:w="1340" w:type="dxa"/>
            <w:tcBorders>
              <w:top w:val="nil"/>
              <w:left w:val="nil"/>
              <w:bottom w:val="single" w:sz="4" w:space="0" w:color="auto"/>
              <w:right w:val="single" w:sz="4" w:space="0" w:color="auto"/>
            </w:tcBorders>
            <w:shd w:val="clear" w:color="auto" w:fill="auto"/>
            <w:noWrap/>
            <w:vAlign w:val="center"/>
            <w:hideMark/>
          </w:tcPr>
          <w:p w14:paraId="2C62867B" w14:textId="77777777" w:rsidR="00A6503C" w:rsidRPr="00553AEA" w:rsidRDefault="00A6503C" w:rsidP="00553AEA">
            <w:pPr>
              <w:jc w:val="right"/>
              <w:rPr>
                <w:rFonts w:ascii="Calibri" w:hAnsi="Calibri"/>
                <w:sz w:val="20"/>
                <w:szCs w:val="20"/>
              </w:rPr>
            </w:pPr>
            <w:r w:rsidRPr="00553AEA">
              <w:rPr>
                <w:rFonts w:ascii="Calibri" w:hAnsi="Calibri"/>
                <w:sz w:val="20"/>
                <w:szCs w:val="20"/>
              </w:rPr>
              <w:t>25.953,00</w:t>
            </w:r>
          </w:p>
        </w:tc>
        <w:tc>
          <w:tcPr>
            <w:tcW w:w="1320" w:type="dxa"/>
            <w:tcBorders>
              <w:top w:val="nil"/>
              <w:left w:val="nil"/>
              <w:bottom w:val="single" w:sz="4" w:space="0" w:color="auto"/>
              <w:right w:val="single" w:sz="4" w:space="0" w:color="auto"/>
            </w:tcBorders>
            <w:shd w:val="clear" w:color="auto" w:fill="auto"/>
            <w:noWrap/>
            <w:vAlign w:val="center"/>
            <w:hideMark/>
          </w:tcPr>
          <w:p w14:paraId="5ACDE3C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20.493,38</w:t>
            </w:r>
          </w:p>
        </w:tc>
        <w:tc>
          <w:tcPr>
            <w:tcW w:w="1080" w:type="dxa"/>
            <w:tcBorders>
              <w:top w:val="nil"/>
              <w:left w:val="nil"/>
              <w:bottom w:val="single" w:sz="4" w:space="0" w:color="auto"/>
              <w:right w:val="single" w:sz="4" w:space="0" w:color="auto"/>
            </w:tcBorders>
            <w:shd w:val="clear" w:color="auto" w:fill="auto"/>
            <w:noWrap/>
            <w:vAlign w:val="center"/>
            <w:hideMark/>
          </w:tcPr>
          <w:p w14:paraId="27A8A4AF" w14:textId="77777777" w:rsidR="00A6503C" w:rsidRPr="00553AEA" w:rsidRDefault="00A6503C" w:rsidP="00553AEA">
            <w:pPr>
              <w:jc w:val="center"/>
              <w:rPr>
                <w:rFonts w:ascii="Calibri" w:hAnsi="Calibri"/>
                <w:sz w:val="20"/>
                <w:szCs w:val="20"/>
              </w:rPr>
            </w:pPr>
            <w:r w:rsidRPr="00553AEA">
              <w:rPr>
                <w:rFonts w:ascii="Calibri" w:hAnsi="Calibri"/>
                <w:sz w:val="20"/>
                <w:szCs w:val="20"/>
              </w:rPr>
              <w:t>78,96</w:t>
            </w:r>
          </w:p>
        </w:tc>
      </w:tr>
      <w:tr w:rsidR="00A6503C" w:rsidRPr="00553AEA" w14:paraId="7571753D"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4B76987" w14:textId="77777777" w:rsidR="00A6503C" w:rsidRPr="00553AEA" w:rsidRDefault="00A6503C" w:rsidP="00553AEA">
            <w:pPr>
              <w:jc w:val="center"/>
              <w:rPr>
                <w:rFonts w:ascii="Calibri" w:hAnsi="Calibri"/>
                <w:sz w:val="20"/>
                <w:szCs w:val="20"/>
              </w:rPr>
            </w:pPr>
            <w:r w:rsidRPr="00553AEA">
              <w:rPr>
                <w:rFonts w:ascii="Calibri" w:hAnsi="Calibri"/>
                <w:sz w:val="20"/>
                <w:szCs w:val="20"/>
              </w:rPr>
              <w:t>65312</w:t>
            </w:r>
          </w:p>
        </w:tc>
        <w:tc>
          <w:tcPr>
            <w:tcW w:w="4320" w:type="dxa"/>
            <w:tcBorders>
              <w:top w:val="nil"/>
              <w:left w:val="nil"/>
              <w:bottom w:val="single" w:sz="4" w:space="0" w:color="auto"/>
              <w:right w:val="single" w:sz="4" w:space="0" w:color="auto"/>
            </w:tcBorders>
            <w:shd w:val="clear" w:color="auto" w:fill="auto"/>
            <w:vAlign w:val="center"/>
            <w:hideMark/>
          </w:tcPr>
          <w:p w14:paraId="4B5829D9"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doprinosa na zarade i naknade zarada – autorski rad</w:t>
            </w:r>
          </w:p>
        </w:tc>
        <w:tc>
          <w:tcPr>
            <w:tcW w:w="1340" w:type="dxa"/>
            <w:tcBorders>
              <w:top w:val="nil"/>
              <w:left w:val="nil"/>
              <w:bottom w:val="single" w:sz="4" w:space="0" w:color="auto"/>
              <w:right w:val="single" w:sz="4" w:space="0" w:color="auto"/>
            </w:tcBorders>
            <w:shd w:val="clear" w:color="auto" w:fill="auto"/>
            <w:noWrap/>
            <w:vAlign w:val="center"/>
            <w:hideMark/>
          </w:tcPr>
          <w:p w14:paraId="104A4074" w14:textId="77777777" w:rsidR="00A6503C" w:rsidRPr="00553AEA" w:rsidRDefault="00A6503C" w:rsidP="00553AEA">
            <w:pPr>
              <w:jc w:val="right"/>
              <w:rPr>
                <w:rFonts w:ascii="Calibri" w:hAnsi="Calibri"/>
                <w:sz w:val="20"/>
                <w:szCs w:val="20"/>
              </w:rPr>
            </w:pPr>
            <w:r w:rsidRPr="00553AEA">
              <w:rPr>
                <w:rFonts w:ascii="Calibri" w:hAnsi="Calibri"/>
                <w:sz w:val="20"/>
                <w:szCs w:val="20"/>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0B9754B9"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1.480,00</w:t>
            </w:r>
          </w:p>
        </w:tc>
        <w:tc>
          <w:tcPr>
            <w:tcW w:w="1080" w:type="dxa"/>
            <w:tcBorders>
              <w:top w:val="nil"/>
              <w:left w:val="nil"/>
              <w:bottom w:val="single" w:sz="4" w:space="0" w:color="auto"/>
              <w:right w:val="single" w:sz="4" w:space="0" w:color="auto"/>
            </w:tcBorders>
            <w:shd w:val="clear" w:color="auto" w:fill="auto"/>
            <w:noWrap/>
            <w:vAlign w:val="center"/>
            <w:hideMark/>
          </w:tcPr>
          <w:p w14:paraId="4799E19F" w14:textId="77777777" w:rsidR="00A6503C" w:rsidRPr="00553AEA" w:rsidRDefault="00A6503C" w:rsidP="00553AEA">
            <w:pPr>
              <w:jc w:val="center"/>
              <w:rPr>
                <w:rFonts w:ascii="Calibri" w:hAnsi="Calibri"/>
                <w:sz w:val="20"/>
                <w:szCs w:val="20"/>
              </w:rPr>
            </w:pPr>
            <w:r w:rsidRPr="00553AEA">
              <w:rPr>
                <w:rFonts w:ascii="Calibri" w:hAnsi="Calibri"/>
                <w:sz w:val="20"/>
                <w:szCs w:val="20"/>
              </w:rPr>
              <w:t>74,00</w:t>
            </w:r>
          </w:p>
        </w:tc>
      </w:tr>
      <w:tr w:rsidR="00A6503C" w:rsidRPr="00553AEA" w14:paraId="0694FB01"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CAB9541" w14:textId="77777777" w:rsidR="00A6503C" w:rsidRPr="00553AEA" w:rsidRDefault="00A6503C" w:rsidP="00553AEA">
            <w:pPr>
              <w:jc w:val="center"/>
              <w:rPr>
                <w:rFonts w:ascii="Calibri" w:hAnsi="Calibri"/>
                <w:sz w:val="20"/>
                <w:szCs w:val="20"/>
              </w:rPr>
            </w:pPr>
            <w:r w:rsidRPr="00553AEA">
              <w:rPr>
                <w:rFonts w:ascii="Calibri" w:hAnsi="Calibri"/>
                <w:sz w:val="20"/>
                <w:szCs w:val="20"/>
              </w:rPr>
              <w:t>65313</w:t>
            </w:r>
          </w:p>
        </w:tc>
        <w:tc>
          <w:tcPr>
            <w:tcW w:w="4320" w:type="dxa"/>
            <w:tcBorders>
              <w:top w:val="nil"/>
              <w:left w:val="nil"/>
              <w:bottom w:val="single" w:sz="4" w:space="0" w:color="auto"/>
              <w:right w:val="single" w:sz="4" w:space="0" w:color="auto"/>
            </w:tcBorders>
            <w:shd w:val="clear" w:color="auto" w:fill="auto"/>
            <w:vAlign w:val="center"/>
            <w:hideMark/>
          </w:tcPr>
          <w:p w14:paraId="7D89AE42" w14:textId="392DF68F" w:rsidR="00A6503C" w:rsidRPr="00553AEA" w:rsidRDefault="00A6503C" w:rsidP="00553AEA">
            <w:pPr>
              <w:jc w:val="left"/>
              <w:rPr>
                <w:rFonts w:ascii="Calibri" w:hAnsi="Calibri"/>
                <w:sz w:val="20"/>
                <w:szCs w:val="20"/>
              </w:rPr>
            </w:pPr>
            <w:r w:rsidRPr="00553AEA">
              <w:rPr>
                <w:rFonts w:ascii="Calibri" w:hAnsi="Calibri"/>
                <w:sz w:val="20"/>
                <w:szCs w:val="20"/>
              </w:rPr>
              <w:t>Troškovi doprinosa na zarade i naknade zarada- U</w:t>
            </w:r>
            <w:r w:rsidR="00F92423">
              <w:rPr>
                <w:rFonts w:ascii="Calibri" w:hAnsi="Calibri"/>
                <w:sz w:val="20"/>
                <w:szCs w:val="20"/>
              </w:rPr>
              <w:t>govor van radnog odnosa</w:t>
            </w:r>
          </w:p>
        </w:tc>
        <w:tc>
          <w:tcPr>
            <w:tcW w:w="1340" w:type="dxa"/>
            <w:tcBorders>
              <w:top w:val="nil"/>
              <w:left w:val="nil"/>
              <w:bottom w:val="single" w:sz="4" w:space="0" w:color="auto"/>
              <w:right w:val="single" w:sz="4" w:space="0" w:color="auto"/>
            </w:tcBorders>
            <w:shd w:val="clear" w:color="auto" w:fill="auto"/>
            <w:noWrap/>
            <w:vAlign w:val="center"/>
            <w:hideMark/>
          </w:tcPr>
          <w:p w14:paraId="25EF1D67" w14:textId="77777777" w:rsidR="00A6503C" w:rsidRPr="00553AEA" w:rsidRDefault="00A6503C" w:rsidP="00553AEA">
            <w:pPr>
              <w:jc w:val="right"/>
              <w:rPr>
                <w:rFonts w:ascii="Calibri" w:hAnsi="Calibri"/>
                <w:sz w:val="20"/>
                <w:szCs w:val="20"/>
              </w:rPr>
            </w:pPr>
            <w:r w:rsidRPr="00553AEA">
              <w:rPr>
                <w:rFonts w:ascii="Calibri" w:hAnsi="Calibri"/>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6147C2F8"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19.386,27</w:t>
            </w:r>
          </w:p>
        </w:tc>
        <w:tc>
          <w:tcPr>
            <w:tcW w:w="1080" w:type="dxa"/>
            <w:tcBorders>
              <w:top w:val="nil"/>
              <w:left w:val="nil"/>
              <w:bottom w:val="single" w:sz="4" w:space="0" w:color="auto"/>
              <w:right w:val="single" w:sz="4" w:space="0" w:color="auto"/>
            </w:tcBorders>
            <w:shd w:val="clear" w:color="auto" w:fill="auto"/>
            <w:noWrap/>
            <w:vAlign w:val="center"/>
            <w:hideMark/>
          </w:tcPr>
          <w:p w14:paraId="190F9A09"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6288912C"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C6DFD87" w14:textId="77777777" w:rsidR="00A6503C" w:rsidRPr="00553AEA" w:rsidRDefault="00A6503C" w:rsidP="00553AEA">
            <w:pPr>
              <w:jc w:val="center"/>
              <w:rPr>
                <w:rFonts w:ascii="Calibri" w:hAnsi="Calibri"/>
                <w:sz w:val="20"/>
                <w:szCs w:val="20"/>
              </w:rPr>
            </w:pPr>
            <w:r w:rsidRPr="00553AEA">
              <w:rPr>
                <w:rFonts w:ascii="Calibri" w:hAnsi="Calibri"/>
                <w:sz w:val="20"/>
                <w:szCs w:val="20"/>
              </w:rPr>
              <w:t>6533</w:t>
            </w:r>
          </w:p>
        </w:tc>
        <w:tc>
          <w:tcPr>
            <w:tcW w:w="4320" w:type="dxa"/>
            <w:tcBorders>
              <w:top w:val="nil"/>
              <w:left w:val="nil"/>
              <w:bottom w:val="single" w:sz="4" w:space="0" w:color="auto"/>
              <w:right w:val="single" w:sz="4" w:space="0" w:color="auto"/>
            </w:tcBorders>
            <w:shd w:val="clear" w:color="auto" w:fill="auto"/>
            <w:vAlign w:val="center"/>
            <w:hideMark/>
          </w:tcPr>
          <w:p w14:paraId="42A3E54E" w14:textId="5C2C7A5D" w:rsidR="00A6503C" w:rsidRPr="00553AEA" w:rsidRDefault="00A6503C" w:rsidP="00553AEA">
            <w:pPr>
              <w:jc w:val="left"/>
              <w:rPr>
                <w:rFonts w:ascii="Calibri" w:hAnsi="Calibri"/>
                <w:sz w:val="20"/>
                <w:szCs w:val="20"/>
              </w:rPr>
            </w:pPr>
            <w:r w:rsidRPr="00553AEA">
              <w:rPr>
                <w:rFonts w:ascii="Calibri" w:hAnsi="Calibri"/>
                <w:sz w:val="20"/>
                <w:szCs w:val="20"/>
              </w:rPr>
              <w:t>Troškovi doprinosa na n</w:t>
            </w:r>
            <w:r w:rsidR="00FB6C47">
              <w:rPr>
                <w:rFonts w:ascii="Calibri" w:hAnsi="Calibri"/>
                <w:sz w:val="20"/>
                <w:szCs w:val="20"/>
              </w:rPr>
              <w:t xml:space="preserve">aknade </w:t>
            </w:r>
            <w:r w:rsidRPr="00553AEA">
              <w:rPr>
                <w:rFonts w:ascii="Calibri" w:hAnsi="Calibri"/>
                <w:sz w:val="20"/>
                <w:szCs w:val="20"/>
              </w:rPr>
              <w:t xml:space="preserve"> Nadzorni odbor</w:t>
            </w:r>
          </w:p>
        </w:tc>
        <w:tc>
          <w:tcPr>
            <w:tcW w:w="1340" w:type="dxa"/>
            <w:tcBorders>
              <w:top w:val="nil"/>
              <w:left w:val="nil"/>
              <w:bottom w:val="single" w:sz="4" w:space="0" w:color="auto"/>
              <w:right w:val="single" w:sz="4" w:space="0" w:color="auto"/>
            </w:tcBorders>
            <w:shd w:val="clear" w:color="auto" w:fill="auto"/>
            <w:noWrap/>
            <w:vAlign w:val="center"/>
            <w:hideMark/>
          </w:tcPr>
          <w:p w14:paraId="24A0C332" w14:textId="77777777" w:rsidR="00A6503C" w:rsidRPr="00553AEA" w:rsidRDefault="00A6503C" w:rsidP="00553AEA">
            <w:pPr>
              <w:jc w:val="right"/>
              <w:rPr>
                <w:rFonts w:ascii="Calibri" w:hAnsi="Calibri"/>
                <w:sz w:val="20"/>
                <w:szCs w:val="20"/>
              </w:rPr>
            </w:pPr>
            <w:r w:rsidRPr="00553AEA">
              <w:rPr>
                <w:rFonts w:ascii="Calibri" w:hAnsi="Calibri"/>
                <w:sz w:val="20"/>
                <w:szCs w:val="20"/>
              </w:rPr>
              <w:t>18.591,00</w:t>
            </w:r>
          </w:p>
        </w:tc>
        <w:tc>
          <w:tcPr>
            <w:tcW w:w="1320" w:type="dxa"/>
            <w:tcBorders>
              <w:top w:val="nil"/>
              <w:left w:val="nil"/>
              <w:bottom w:val="single" w:sz="4" w:space="0" w:color="auto"/>
              <w:right w:val="single" w:sz="4" w:space="0" w:color="auto"/>
            </w:tcBorders>
            <w:shd w:val="clear" w:color="auto" w:fill="auto"/>
            <w:noWrap/>
            <w:vAlign w:val="center"/>
            <w:hideMark/>
          </w:tcPr>
          <w:p w14:paraId="466D112E"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17.816,40</w:t>
            </w:r>
          </w:p>
        </w:tc>
        <w:tc>
          <w:tcPr>
            <w:tcW w:w="1080" w:type="dxa"/>
            <w:tcBorders>
              <w:top w:val="nil"/>
              <w:left w:val="nil"/>
              <w:bottom w:val="single" w:sz="4" w:space="0" w:color="auto"/>
              <w:right w:val="single" w:sz="4" w:space="0" w:color="auto"/>
            </w:tcBorders>
            <w:shd w:val="clear" w:color="auto" w:fill="auto"/>
            <w:noWrap/>
            <w:vAlign w:val="center"/>
            <w:hideMark/>
          </w:tcPr>
          <w:p w14:paraId="6138FE81" w14:textId="77777777" w:rsidR="00A6503C" w:rsidRPr="00553AEA" w:rsidRDefault="00A6503C" w:rsidP="00553AEA">
            <w:pPr>
              <w:jc w:val="center"/>
              <w:rPr>
                <w:rFonts w:ascii="Calibri" w:hAnsi="Calibri"/>
                <w:sz w:val="20"/>
                <w:szCs w:val="20"/>
              </w:rPr>
            </w:pPr>
            <w:r w:rsidRPr="00553AEA">
              <w:rPr>
                <w:rFonts w:ascii="Calibri" w:hAnsi="Calibri"/>
                <w:sz w:val="20"/>
                <w:szCs w:val="20"/>
              </w:rPr>
              <w:t>95,83</w:t>
            </w:r>
          </w:p>
        </w:tc>
      </w:tr>
      <w:tr w:rsidR="00A6503C" w:rsidRPr="00553AEA" w14:paraId="6E49E884"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C363DEC" w14:textId="77777777" w:rsidR="00A6503C" w:rsidRPr="00553AEA" w:rsidRDefault="00A6503C" w:rsidP="00553AEA">
            <w:pPr>
              <w:jc w:val="center"/>
              <w:rPr>
                <w:rFonts w:ascii="Calibri" w:hAnsi="Calibri"/>
                <w:sz w:val="20"/>
                <w:szCs w:val="20"/>
              </w:rPr>
            </w:pPr>
            <w:r w:rsidRPr="00553AEA">
              <w:rPr>
                <w:rFonts w:ascii="Calibri" w:hAnsi="Calibri"/>
                <w:sz w:val="20"/>
                <w:szCs w:val="20"/>
              </w:rPr>
              <w:t>6535</w:t>
            </w:r>
          </w:p>
        </w:tc>
        <w:tc>
          <w:tcPr>
            <w:tcW w:w="4320" w:type="dxa"/>
            <w:tcBorders>
              <w:top w:val="nil"/>
              <w:left w:val="nil"/>
              <w:bottom w:val="single" w:sz="4" w:space="0" w:color="auto"/>
              <w:right w:val="single" w:sz="4" w:space="0" w:color="auto"/>
            </w:tcBorders>
            <w:shd w:val="clear" w:color="auto" w:fill="auto"/>
            <w:vAlign w:val="center"/>
            <w:hideMark/>
          </w:tcPr>
          <w:p w14:paraId="37F240A8" w14:textId="161A4F3B" w:rsidR="00A6503C" w:rsidRPr="00553AEA" w:rsidRDefault="00A6503C" w:rsidP="00553AEA">
            <w:pPr>
              <w:jc w:val="left"/>
              <w:rPr>
                <w:rFonts w:ascii="Calibri" w:hAnsi="Calibri"/>
                <w:sz w:val="20"/>
                <w:szCs w:val="20"/>
              </w:rPr>
            </w:pPr>
            <w:r w:rsidRPr="00553AEA">
              <w:rPr>
                <w:rFonts w:ascii="Calibri" w:hAnsi="Calibri"/>
                <w:sz w:val="20"/>
                <w:szCs w:val="20"/>
              </w:rPr>
              <w:t>Trošak doprinosa</w:t>
            </w:r>
            <w:r w:rsidR="002C563F">
              <w:rPr>
                <w:rFonts w:ascii="Calibri" w:hAnsi="Calibri"/>
                <w:sz w:val="20"/>
                <w:szCs w:val="20"/>
              </w:rPr>
              <w:t xml:space="preserve"> na naknade</w:t>
            </w:r>
            <w:r w:rsidRPr="00553AEA">
              <w:rPr>
                <w:rFonts w:ascii="Calibri" w:hAnsi="Calibri"/>
                <w:sz w:val="20"/>
                <w:szCs w:val="20"/>
              </w:rPr>
              <w:t xml:space="preserve"> – </w:t>
            </w:r>
            <w:r w:rsidR="002C563F">
              <w:rPr>
                <w:rFonts w:ascii="Calibri" w:hAnsi="Calibri"/>
                <w:sz w:val="20"/>
                <w:szCs w:val="20"/>
              </w:rPr>
              <w:t>beneficirani radni staž</w:t>
            </w:r>
          </w:p>
        </w:tc>
        <w:tc>
          <w:tcPr>
            <w:tcW w:w="1340" w:type="dxa"/>
            <w:tcBorders>
              <w:top w:val="nil"/>
              <w:left w:val="nil"/>
              <w:bottom w:val="single" w:sz="4" w:space="0" w:color="auto"/>
              <w:right w:val="single" w:sz="4" w:space="0" w:color="auto"/>
            </w:tcBorders>
            <w:shd w:val="clear" w:color="auto" w:fill="auto"/>
            <w:noWrap/>
            <w:vAlign w:val="center"/>
            <w:hideMark/>
          </w:tcPr>
          <w:p w14:paraId="63A7302A" w14:textId="77777777" w:rsidR="00A6503C" w:rsidRPr="00553AEA" w:rsidRDefault="00A6503C" w:rsidP="00553AEA">
            <w:pPr>
              <w:jc w:val="right"/>
              <w:rPr>
                <w:rFonts w:ascii="Calibri" w:hAnsi="Calibri"/>
                <w:sz w:val="20"/>
                <w:szCs w:val="20"/>
              </w:rPr>
            </w:pPr>
            <w:r w:rsidRPr="00553AEA">
              <w:rPr>
                <w:rFonts w:ascii="Calibri" w:hAnsi="Calibri"/>
                <w:sz w:val="20"/>
                <w:szCs w:val="20"/>
              </w:rPr>
              <w:t>2.400,00</w:t>
            </w:r>
          </w:p>
        </w:tc>
        <w:tc>
          <w:tcPr>
            <w:tcW w:w="1320" w:type="dxa"/>
            <w:tcBorders>
              <w:top w:val="nil"/>
              <w:left w:val="nil"/>
              <w:bottom w:val="single" w:sz="4" w:space="0" w:color="auto"/>
              <w:right w:val="single" w:sz="4" w:space="0" w:color="auto"/>
            </w:tcBorders>
            <w:shd w:val="clear" w:color="auto" w:fill="auto"/>
            <w:noWrap/>
            <w:vAlign w:val="center"/>
            <w:hideMark/>
          </w:tcPr>
          <w:p w14:paraId="1FEFB1D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2.759,86</w:t>
            </w:r>
          </w:p>
        </w:tc>
        <w:tc>
          <w:tcPr>
            <w:tcW w:w="1080" w:type="dxa"/>
            <w:tcBorders>
              <w:top w:val="nil"/>
              <w:left w:val="nil"/>
              <w:bottom w:val="single" w:sz="4" w:space="0" w:color="auto"/>
              <w:right w:val="single" w:sz="4" w:space="0" w:color="auto"/>
            </w:tcBorders>
            <w:shd w:val="clear" w:color="auto" w:fill="auto"/>
            <w:noWrap/>
            <w:vAlign w:val="center"/>
            <w:hideMark/>
          </w:tcPr>
          <w:p w14:paraId="49878018" w14:textId="77777777" w:rsidR="00A6503C" w:rsidRPr="00553AEA" w:rsidRDefault="00A6503C" w:rsidP="00553AEA">
            <w:pPr>
              <w:jc w:val="center"/>
              <w:rPr>
                <w:rFonts w:ascii="Calibri" w:hAnsi="Calibri"/>
                <w:sz w:val="20"/>
                <w:szCs w:val="20"/>
              </w:rPr>
            </w:pPr>
            <w:r w:rsidRPr="00553AEA">
              <w:rPr>
                <w:rFonts w:ascii="Calibri" w:hAnsi="Calibri"/>
                <w:sz w:val="20"/>
                <w:szCs w:val="20"/>
              </w:rPr>
              <w:t>114,99</w:t>
            </w:r>
          </w:p>
        </w:tc>
      </w:tr>
      <w:tr w:rsidR="00A6503C" w:rsidRPr="00553AEA" w14:paraId="118E5384"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469FAF4" w14:textId="77777777" w:rsidR="00A6503C" w:rsidRPr="00553AEA" w:rsidRDefault="00A6503C" w:rsidP="00553AEA">
            <w:pPr>
              <w:jc w:val="center"/>
              <w:rPr>
                <w:rFonts w:ascii="Calibri" w:hAnsi="Calibri"/>
                <w:sz w:val="20"/>
                <w:szCs w:val="20"/>
              </w:rPr>
            </w:pPr>
            <w:r w:rsidRPr="00553AEA">
              <w:rPr>
                <w:rFonts w:ascii="Calibri" w:hAnsi="Calibri"/>
                <w:sz w:val="20"/>
                <w:szCs w:val="20"/>
              </w:rPr>
              <w:t>6536</w:t>
            </w:r>
          </w:p>
        </w:tc>
        <w:tc>
          <w:tcPr>
            <w:tcW w:w="4320" w:type="dxa"/>
            <w:tcBorders>
              <w:top w:val="nil"/>
              <w:left w:val="nil"/>
              <w:bottom w:val="single" w:sz="4" w:space="0" w:color="auto"/>
              <w:right w:val="single" w:sz="4" w:space="0" w:color="auto"/>
            </w:tcBorders>
            <w:shd w:val="clear" w:color="auto" w:fill="auto"/>
            <w:vAlign w:val="center"/>
            <w:hideMark/>
          </w:tcPr>
          <w:p w14:paraId="10CD24CE" w14:textId="11191DEA" w:rsidR="00A6503C" w:rsidRPr="00553AEA" w:rsidRDefault="00A6503C" w:rsidP="00553AEA">
            <w:pPr>
              <w:jc w:val="left"/>
              <w:rPr>
                <w:rFonts w:ascii="Calibri" w:hAnsi="Calibri"/>
                <w:sz w:val="20"/>
                <w:szCs w:val="20"/>
              </w:rPr>
            </w:pPr>
            <w:r w:rsidRPr="00553AEA">
              <w:rPr>
                <w:rFonts w:ascii="Calibri" w:hAnsi="Calibri"/>
                <w:sz w:val="20"/>
                <w:szCs w:val="20"/>
              </w:rPr>
              <w:t>Troškovi doprinosa za zaradu i recourse-r</w:t>
            </w:r>
            <w:r w:rsidR="002C563F">
              <w:rPr>
                <w:rFonts w:ascii="Calibri" w:hAnsi="Calibri"/>
                <w:sz w:val="20"/>
                <w:szCs w:val="20"/>
              </w:rPr>
              <w:t>egres</w:t>
            </w:r>
          </w:p>
        </w:tc>
        <w:tc>
          <w:tcPr>
            <w:tcW w:w="1340" w:type="dxa"/>
            <w:tcBorders>
              <w:top w:val="nil"/>
              <w:left w:val="nil"/>
              <w:bottom w:val="single" w:sz="4" w:space="0" w:color="auto"/>
              <w:right w:val="single" w:sz="4" w:space="0" w:color="auto"/>
            </w:tcBorders>
            <w:shd w:val="clear" w:color="auto" w:fill="auto"/>
            <w:noWrap/>
            <w:vAlign w:val="center"/>
            <w:hideMark/>
          </w:tcPr>
          <w:p w14:paraId="2909B539" w14:textId="77777777" w:rsidR="00A6503C" w:rsidRPr="00553AEA" w:rsidRDefault="00A6503C" w:rsidP="00553AEA">
            <w:pPr>
              <w:jc w:val="right"/>
              <w:rPr>
                <w:rFonts w:ascii="Calibri" w:hAnsi="Calibri"/>
                <w:sz w:val="20"/>
                <w:szCs w:val="20"/>
              </w:rPr>
            </w:pPr>
            <w:r w:rsidRPr="00553AEA">
              <w:rPr>
                <w:rFonts w:ascii="Calibri" w:hAnsi="Calibri"/>
                <w:sz w:val="20"/>
                <w:szCs w:val="20"/>
              </w:rPr>
              <w:t>9.244,00</w:t>
            </w:r>
          </w:p>
        </w:tc>
        <w:tc>
          <w:tcPr>
            <w:tcW w:w="1320" w:type="dxa"/>
            <w:tcBorders>
              <w:top w:val="nil"/>
              <w:left w:val="nil"/>
              <w:bottom w:val="single" w:sz="4" w:space="0" w:color="auto"/>
              <w:right w:val="single" w:sz="4" w:space="0" w:color="auto"/>
            </w:tcBorders>
            <w:shd w:val="clear" w:color="auto" w:fill="auto"/>
            <w:noWrap/>
            <w:vAlign w:val="center"/>
            <w:hideMark/>
          </w:tcPr>
          <w:p w14:paraId="747A22F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10.968,47</w:t>
            </w:r>
          </w:p>
        </w:tc>
        <w:tc>
          <w:tcPr>
            <w:tcW w:w="1080" w:type="dxa"/>
            <w:tcBorders>
              <w:top w:val="nil"/>
              <w:left w:val="nil"/>
              <w:bottom w:val="single" w:sz="4" w:space="0" w:color="auto"/>
              <w:right w:val="single" w:sz="4" w:space="0" w:color="auto"/>
            </w:tcBorders>
            <w:shd w:val="clear" w:color="auto" w:fill="auto"/>
            <w:noWrap/>
            <w:vAlign w:val="center"/>
            <w:hideMark/>
          </w:tcPr>
          <w:p w14:paraId="0C9D81EF" w14:textId="77777777" w:rsidR="00A6503C" w:rsidRPr="00553AEA" w:rsidRDefault="00A6503C" w:rsidP="00553AEA">
            <w:pPr>
              <w:jc w:val="center"/>
              <w:rPr>
                <w:rFonts w:ascii="Calibri" w:hAnsi="Calibri"/>
                <w:sz w:val="20"/>
                <w:szCs w:val="20"/>
              </w:rPr>
            </w:pPr>
            <w:r w:rsidRPr="00553AEA">
              <w:rPr>
                <w:rFonts w:ascii="Calibri" w:hAnsi="Calibri"/>
                <w:sz w:val="20"/>
                <w:szCs w:val="20"/>
              </w:rPr>
              <w:t>118,66</w:t>
            </w:r>
          </w:p>
        </w:tc>
      </w:tr>
      <w:tr w:rsidR="00A6503C" w:rsidRPr="00553AEA" w14:paraId="03DFFC5A"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C26B071" w14:textId="77777777" w:rsidR="00A6503C" w:rsidRPr="00553AEA" w:rsidRDefault="00A6503C" w:rsidP="00553AEA">
            <w:pPr>
              <w:jc w:val="center"/>
              <w:rPr>
                <w:rFonts w:ascii="Calibri" w:hAnsi="Calibri"/>
                <w:sz w:val="20"/>
                <w:szCs w:val="20"/>
              </w:rPr>
            </w:pPr>
            <w:r w:rsidRPr="00553AEA">
              <w:rPr>
                <w:rFonts w:ascii="Calibri" w:hAnsi="Calibri"/>
                <w:sz w:val="20"/>
                <w:szCs w:val="20"/>
              </w:rPr>
              <w:t>6537</w:t>
            </w:r>
          </w:p>
        </w:tc>
        <w:tc>
          <w:tcPr>
            <w:tcW w:w="4320" w:type="dxa"/>
            <w:tcBorders>
              <w:top w:val="nil"/>
              <w:left w:val="nil"/>
              <w:bottom w:val="single" w:sz="4" w:space="0" w:color="auto"/>
              <w:right w:val="single" w:sz="4" w:space="0" w:color="auto"/>
            </w:tcBorders>
            <w:shd w:val="clear" w:color="auto" w:fill="auto"/>
            <w:vAlign w:val="center"/>
            <w:hideMark/>
          </w:tcPr>
          <w:p w14:paraId="134BAF74"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doprinosa na zarade i nak.de zarada – Odbor za reviziju</w:t>
            </w:r>
          </w:p>
        </w:tc>
        <w:tc>
          <w:tcPr>
            <w:tcW w:w="1340" w:type="dxa"/>
            <w:tcBorders>
              <w:top w:val="nil"/>
              <w:left w:val="nil"/>
              <w:bottom w:val="single" w:sz="4" w:space="0" w:color="auto"/>
              <w:right w:val="single" w:sz="4" w:space="0" w:color="auto"/>
            </w:tcBorders>
            <w:shd w:val="clear" w:color="auto" w:fill="auto"/>
            <w:noWrap/>
            <w:vAlign w:val="center"/>
            <w:hideMark/>
          </w:tcPr>
          <w:p w14:paraId="5996A4CB" w14:textId="77777777" w:rsidR="00A6503C" w:rsidRPr="00553AEA" w:rsidRDefault="00A6503C" w:rsidP="00553AEA">
            <w:pPr>
              <w:jc w:val="right"/>
              <w:rPr>
                <w:rFonts w:ascii="Calibri" w:hAnsi="Calibri"/>
                <w:sz w:val="20"/>
                <w:szCs w:val="20"/>
              </w:rPr>
            </w:pPr>
            <w:r w:rsidRPr="00553AEA">
              <w:rPr>
                <w:rFonts w:ascii="Calibri" w:hAnsi="Calibri"/>
                <w:sz w:val="20"/>
                <w:szCs w:val="20"/>
              </w:rPr>
              <w:t>7.436,00</w:t>
            </w:r>
          </w:p>
        </w:tc>
        <w:tc>
          <w:tcPr>
            <w:tcW w:w="1320" w:type="dxa"/>
            <w:tcBorders>
              <w:top w:val="nil"/>
              <w:left w:val="nil"/>
              <w:bottom w:val="single" w:sz="4" w:space="0" w:color="auto"/>
              <w:right w:val="single" w:sz="4" w:space="0" w:color="auto"/>
            </w:tcBorders>
            <w:shd w:val="clear" w:color="auto" w:fill="auto"/>
            <w:noWrap/>
            <w:vAlign w:val="center"/>
            <w:hideMark/>
          </w:tcPr>
          <w:p w14:paraId="033CEDAC"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6.413,58</w:t>
            </w:r>
          </w:p>
        </w:tc>
        <w:tc>
          <w:tcPr>
            <w:tcW w:w="1080" w:type="dxa"/>
            <w:tcBorders>
              <w:top w:val="nil"/>
              <w:left w:val="nil"/>
              <w:bottom w:val="single" w:sz="4" w:space="0" w:color="auto"/>
              <w:right w:val="single" w:sz="4" w:space="0" w:color="auto"/>
            </w:tcBorders>
            <w:shd w:val="clear" w:color="auto" w:fill="auto"/>
            <w:noWrap/>
            <w:vAlign w:val="center"/>
            <w:hideMark/>
          </w:tcPr>
          <w:p w14:paraId="53767E81" w14:textId="77777777" w:rsidR="00A6503C" w:rsidRPr="00553AEA" w:rsidRDefault="00A6503C" w:rsidP="00553AEA">
            <w:pPr>
              <w:jc w:val="center"/>
              <w:rPr>
                <w:rFonts w:ascii="Calibri" w:hAnsi="Calibri"/>
                <w:sz w:val="20"/>
                <w:szCs w:val="20"/>
              </w:rPr>
            </w:pPr>
            <w:r w:rsidRPr="00553AEA">
              <w:rPr>
                <w:rFonts w:ascii="Calibri" w:hAnsi="Calibri"/>
                <w:sz w:val="20"/>
                <w:szCs w:val="20"/>
              </w:rPr>
              <w:t>86,25</w:t>
            </w:r>
          </w:p>
        </w:tc>
      </w:tr>
      <w:tr w:rsidR="00A6503C" w:rsidRPr="00553AEA" w14:paraId="71EEF9DA"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2E0B8E0" w14:textId="77777777" w:rsidR="00A6503C" w:rsidRPr="00553AEA" w:rsidRDefault="00A6503C" w:rsidP="00553AEA">
            <w:pPr>
              <w:jc w:val="center"/>
              <w:rPr>
                <w:rFonts w:ascii="Calibri" w:hAnsi="Calibri"/>
                <w:sz w:val="20"/>
                <w:szCs w:val="20"/>
              </w:rPr>
            </w:pPr>
            <w:r w:rsidRPr="00553AEA">
              <w:rPr>
                <w:rFonts w:ascii="Calibri" w:hAnsi="Calibri"/>
                <w:sz w:val="20"/>
                <w:szCs w:val="20"/>
              </w:rPr>
              <w:t>6538</w:t>
            </w:r>
          </w:p>
        </w:tc>
        <w:tc>
          <w:tcPr>
            <w:tcW w:w="4320" w:type="dxa"/>
            <w:tcBorders>
              <w:top w:val="nil"/>
              <w:left w:val="nil"/>
              <w:bottom w:val="single" w:sz="4" w:space="0" w:color="auto"/>
              <w:right w:val="single" w:sz="4" w:space="0" w:color="auto"/>
            </w:tcBorders>
            <w:shd w:val="clear" w:color="auto" w:fill="auto"/>
            <w:vAlign w:val="center"/>
            <w:hideMark/>
          </w:tcPr>
          <w:p w14:paraId="42213B59"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doprinosa na zarade i naknade - direktor int. Revizije</w:t>
            </w:r>
          </w:p>
        </w:tc>
        <w:tc>
          <w:tcPr>
            <w:tcW w:w="1340" w:type="dxa"/>
            <w:tcBorders>
              <w:top w:val="nil"/>
              <w:left w:val="nil"/>
              <w:bottom w:val="single" w:sz="4" w:space="0" w:color="auto"/>
              <w:right w:val="single" w:sz="4" w:space="0" w:color="auto"/>
            </w:tcBorders>
            <w:shd w:val="clear" w:color="auto" w:fill="auto"/>
            <w:noWrap/>
            <w:vAlign w:val="center"/>
            <w:hideMark/>
          </w:tcPr>
          <w:p w14:paraId="0FEE943C" w14:textId="77777777" w:rsidR="00A6503C" w:rsidRPr="00553AEA" w:rsidRDefault="00A6503C" w:rsidP="00553AEA">
            <w:pPr>
              <w:jc w:val="right"/>
              <w:rPr>
                <w:rFonts w:ascii="Calibri" w:hAnsi="Calibri"/>
                <w:sz w:val="20"/>
                <w:szCs w:val="20"/>
              </w:rPr>
            </w:pPr>
            <w:r w:rsidRPr="00553AEA">
              <w:rPr>
                <w:rFonts w:ascii="Calibri" w:hAnsi="Calibri"/>
                <w:sz w:val="20"/>
                <w:szCs w:val="20"/>
              </w:rPr>
              <w:t>3.098,00</w:t>
            </w:r>
          </w:p>
        </w:tc>
        <w:tc>
          <w:tcPr>
            <w:tcW w:w="1320" w:type="dxa"/>
            <w:tcBorders>
              <w:top w:val="nil"/>
              <w:left w:val="nil"/>
              <w:bottom w:val="single" w:sz="4" w:space="0" w:color="auto"/>
              <w:right w:val="single" w:sz="4" w:space="0" w:color="auto"/>
            </w:tcBorders>
            <w:shd w:val="clear" w:color="auto" w:fill="auto"/>
            <w:noWrap/>
            <w:vAlign w:val="center"/>
            <w:hideMark/>
          </w:tcPr>
          <w:p w14:paraId="4EB97F8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2.850,63</w:t>
            </w:r>
          </w:p>
        </w:tc>
        <w:tc>
          <w:tcPr>
            <w:tcW w:w="1080" w:type="dxa"/>
            <w:tcBorders>
              <w:top w:val="nil"/>
              <w:left w:val="nil"/>
              <w:bottom w:val="single" w:sz="4" w:space="0" w:color="auto"/>
              <w:right w:val="single" w:sz="4" w:space="0" w:color="auto"/>
            </w:tcBorders>
            <w:shd w:val="clear" w:color="auto" w:fill="auto"/>
            <w:noWrap/>
            <w:vAlign w:val="center"/>
            <w:hideMark/>
          </w:tcPr>
          <w:p w14:paraId="3D5E9E62" w14:textId="77777777" w:rsidR="00A6503C" w:rsidRPr="00553AEA" w:rsidRDefault="00A6503C" w:rsidP="00553AEA">
            <w:pPr>
              <w:jc w:val="center"/>
              <w:rPr>
                <w:rFonts w:ascii="Calibri" w:hAnsi="Calibri"/>
                <w:sz w:val="20"/>
                <w:szCs w:val="20"/>
              </w:rPr>
            </w:pPr>
            <w:r w:rsidRPr="00553AEA">
              <w:rPr>
                <w:rFonts w:ascii="Calibri" w:hAnsi="Calibri"/>
                <w:sz w:val="20"/>
                <w:szCs w:val="20"/>
              </w:rPr>
              <w:t>92,02</w:t>
            </w:r>
          </w:p>
        </w:tc>
      </w:tr>
      <w:tr w:rsidR="00A6503C" w:rsidRPr="00553AEA" w14:paraId="2CE12137"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7F421BE" w14:textId="77777777" w:rsidR="00A6503C" w:rsidRPr="00553AEA" w:rsidRDefault="00A6503C" w:rsidP="00553AEA">
            <w:pPr>
              <w:jc w:val="center"/>
              <w:rPr>
                <w:rFonts w:ascii="Calibri" w:hAnsi="Calibri"/>
                <w:sz w:val="20"/>
                <w:szCs w:val="20"/>
              </w:rPr>
            </w:pPr>
            <w:r w:rsidRPr="00553AEA">
              <w:rPr>
                <w:rFonts w:ascii="Calibri" w:hAnsi="Calibri"/>
                <w:sz w:val="20"/>
                <w:szCs w:val="20"/>
              </w:rPr>
              <w:t>65391</w:t>
            </w:r>
          </w:p>
        </w:tc>
        <w:tc>
          <w:tcPr>
            <w:tcW w:w="4320" w:type="dxa"/>
            <w:tcBorders>
              <w:top w:val="nil"/>
              <w:left w:val="nil"/>
              <w:bottom w:val="single" w:sz="4" w:space="0" w:color="auto"/>
              <w:right w:val="single" w:sz="4" w:space="0" w:color="auto"/>
            </w:tcBorders>
            <w:shd w:val="clear" w:color="auto" w:fill="auto"/>
            <w:vAlign w:val="center"/>
            <w:hideMark/>
          </w:tcPr>
          <w:p w14:paraId="6BBF7879"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doprinosa na zarade i naknade zarade – ugovor o djelu</w:t>
            </w:r>
          </w:p>
        </w:tc>
        <w:tc>
          <w:tcPr>
            <w:tcW w:w="1340" w:type="dxa"/>
            <w:tcBorders>
              <w:top w:val="nil"/>
              <w:left w:val="nil"/>
              <w:bottom w:val="single" w:sz="4" w:space="0" w:color="auto"/>
              <w:right w:val="single" w:sz="4" w:space="0" w:color="auto"/>
            </w:tcBorders>
            <w:shd w:val="clear" w:color="auto" w:fill="auto"/>
            <w:noWrap/>
            <w:vAlign w:val="center"/>
            <w:hideMark/>
          </w:tcPr>
          <w:p w14:paraId="2B7D9CF0" w14:textId="77777777" w:rsidR="00A6503C" w:rsidRPr="00553AEA" w:rsidRDefault="00A6503C" w:rsidP="00553AEA">
            <w:pPr>
              <w:jc w:val="right"/>
              <w:rPr>
                <w:rFonts w:ascii="Calibri" w:hAnsi="Calibri"/>
                <w:sz w:val="20"/>
                <w:szCs w:val="20"/>
              </w:rPr>
            </w:pPr>
            <w:r w:rsidRPr="00553AEA">
              <w:rPr>
                <w:rFonts w:ascii="Calibri" w:hAnsi="Calibri"/>
                <w:sz w:val="20"/>
                <w:szCs w:val="20"/>
              </w:rPr>
              <w:t>3.374,49</w:t>
            </w:r>
          </w:p>
        </w:tc>
        <w:tc>
          <w:tcPr>
            <w:tcW w:w="1320" w:type="dxa"/>
            <w:tcBorders>
              <w:top w:val="nil"/>
              <w:left w:val="nil"/>
              <w:bottom w:val="single" w:sz="4" w:space="0" w:color="auto"/>
              <w:right w:val="single" w:sz="4" w:space="0" w:color="auto"/>
            </w:tcBorders>
            <w:shd w:val="clear" w:color="auto" w:fill="auto"/>
            <w:noWrap/>
            <w:vAlign w:val="center"/>
            <w:hideMark/>
          </w:tcPr>
          <w:p w14:paraId="0CFA7B15"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3.334,46</w:t>
            </w:r>
          </w:p>
        </w:tc>
        <w:tc>
          <w:tcPr>
            <w:tcW w:w="1080" w:type="dxa"/>
            <w:tcBorders>
              <w:top w:val="nil"/>
              <w:left w:val="nil"/>
              <w:bottom w:val="single" w:sz="4" w:space="0" w:color="auto"/>
              <w:right w:val="single" w:sz="4" w:space="0" w:color="auto"/>
            </w:tcBorders>
            <w:shd w:val="clear" w:color="auto" w:fill="auto"/>
            <w:noWrap/>
            <w:vAlign w:val="center"/>
            <w:hideMark/>
          </w:tcPr>
          <w:p w14:paraId="00508A95" w14:textId="77777777" w:rsidR="00A6503C" w:rsidRPr="00553AEA" w:rsidRDefault="00A6503C" w:rsidP="00553AEA">
            <w:pPr>
              <w:jc w:val="center"/>
              <w:rPr>
                <w:rFonts w:ascii="Calibri" w:hAnsi="Calibri"/>
                <w:sz w:val="20"/>
                <w:szCs w:val="20"/>
              </w:rPr>
            </w:pPr>
            <w:r w:rsidRPr="00553AEA">
              <w:rPr>
                <w:rFonts w:ascii="Calibri" w:hAnsi="Calibri"/>
                <w:sz w:val="20"/>
                <w:szCs w:val="20"/>
              </w:rPr>
              <w:t>98,81</w:t>
            </w:r>
          </w:p>
        </w:tc>
      </w:tr>
      <w:tr w:rsidR="00A6503C" w:rsidRPr="00553AEA" w14:paraId="40B27DEE" w14:textId="77777777" w:rsidTr="001A4ADE">
        <w:trPr>
          <w:trHeight w:val="510"/>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53C3FF77"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654</w:t>
            </w:r>
          </w:p>
        </w:tc>
        <w:tc>
          <w:tcPr>
            <w:tcW w:w="4320" w:type="dxa"/>
            <w:tcBorders>
              <w:top w:val="nil"/>
              <w:left w:val="nil"/>
              <w:bottom w:val="single" w:sz="4" w:space="0" w:color="auto"/>
              <w:right w:val="single" w:sz="4" w:space="0" w:color="auto"/>
            </w:tcBorders>
            <w:shd w:val="clear" w:color="000000" w:fill="C5D9F1"/>
            <w:vAlign w:val="center"/>
            <w:hideMark/>
          </w:tcPr>
          <w:p w14:paraId="212C6135" w14:textId="77777777" w:rsidR="00A6503C" w:rsidRPr="00553AEA" w:rsidRDefault="00A6503C" w:rsidP="00553AEA">
            <w:pPr>
              <w:jc w:val="left"/>
              <w:rPr>
                <w:rFonts w:ascii="Calibri" w:hAnsi="Calibri"/>
                <w:b/>
                <w:bCs/>
                <w:sz w:val="20"/>
                <w:szCs w:val="20"/>
              </w:rPr>
            </w:pPr>
            <w:r w:rsidRPr="00553AEA">
              <w:rPr>
                <w:rFonts w:ascii="Calibri" w:hAnsi="Calibri"/>
                <w:b/>
                <w:bCs/>
                <w:sz w:val="20"/>
                <w:szCs w:val="20"/>
              </w:rPr>
              <w:t>Troškovi naknada za privremene i povremene poslove</w:t>
            </w:r>
          </w:p>
        </w:tc>
        <w:tc>
          <w:tcPr>
            <w:tcW w:w="1340" w:type="dxa"/>
            <w:tcBorders>
              <w:top w:val="nil"/>
              <w:left w:val="nil"/>
              <w:bottom w:val="single" w:sz="4" w:space="0" w:color="auto"/>
              <w:right w:val="single" w:sz="4" w:space="0" w:color="auto"/>
            </w:tcBorders>
            <w:shd w:val="clear" w:color="000000" w:fill="C5D9F1"/>
            <w:noWrap/>
            <w:vAlign w:val="center"/>
            <w:hideMark/>
          </w:tcPr>
          <w:p w14:paraId="3E99F416"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20.226,67</w:t>
            </w:r>
          </w:p>
        </w:tc>
        <w:tc>
          <w:tcPr>
            <w:tcW w:w="1320" w:type="dxa"/>
            <w:tcBorders>
              <w:top w:val="nil"/>
              <w:left w:val="nil"/>
              <w:bottom w:val="single" w:sz="4" w:space="0" w:color="auto"/>
              <w:right w:val="single" w:sz="4" w:space="0" w:color="auto"/>
            </w:tcBorders>
            <w:shd w:val="clear" w:color="000000" w:fill="C5D9F1"/>
            <w:noWrap/>
            <w:vAlign w:val="center"/>
            <w:hideMark/>
          </w:tcPr>
          <w:p w14:paraId="3335D4EC"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18.780,00</w:t>
            </w:r>
          </w:p>
        </w:tc>
        <w:tc>
          <w:tcPr>
            <w:tcW w:w="1080" w:type="dxa"/>
            <w:tcBorders>
              <w:top w:val="nil"/>
              <w:left w:val="nil"/>
              <w:bottom w:val="single" w:sz="4" w:space="0" w:color="auto"/>
              <w:right w:val="single" w:sz="4" w:space="0" w:color="auto"/>
            </w:tcBorders>
            <w:shd w:val="clear" w:color="000000" w:fill="C5D9F1"/>
            <w:noWrap/>
            <w:vAlign w:val="center"/>
            <w:hideMark/>
          </w:tcPr>
          <w:p w14:paraId="33362EE9"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92,85</w:t>
            </w:r>
          </w:p>
        </w:tc>
      </w:tr>
      <w:tr w:rsidR="00A6503C" w:rsidRPr="00553AEA" w14:paraId="10EC4577"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A95F2C6" w14:textId="77777777" w:rsidR="00A6503C" w:rsidRPr="00553AEA" w:rsidRDefault="00A6503C" w:rsidP="00553AEA">
            <w:pPr>
              <w:jc w:val="center"/>
              <w:rPr>
                <w:rFonts w:ascii="Calibri" w:hAnsi="Calibri"/>
                <w:sz w:val="20"/>
                <w:szCs w:val="20"/>
              </w:rPr>
            </w:pPr>
            <w:r w:rsidRPr="00553AEA">
              <w:rPr>
                <w:rFonts w:ascii="Calibri" w:hAnsi="Calibri"/>
                <w:sz w:val="20"/>
                <w:szCs w:val="20"/>
              </w:rPr>
              <w:t>6540</w:t>
            </w:r>
          </w:p>
        </w:tc>
        <w:tc>
          <w:tcPr>
            <w:tcW w:w="4320" w:type="dxa"/>
            <w:tcBorders>
              <w:top w:val="nil"/>
              <w:left w:val="nil"/>
              <w:bottom w:val="single" w:sz="4" w:space="0" w:color="auto"/>
              <w:right w:val="single" w:sz="4" w:space="0" w:color="auto"/>
            </w:tcBorders>
            <w:shd w:val="clear" w:color="auto" w:fill="auto"/>
            <w:vAlign w:val="center"/>
            <w:hideMark/>
          </w:tcPr>
          <w:p w14:paraId="058F4B35"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naknada za privremene i povremene poslove-Ugovor o djelu neto</w:t>
            </w:r>
          </w:p>
        </w:tc>
        <w:tc>
          <w:tcPr>
            <w:tcW w:w="1340" w:type="dxa"/>
            <w:tcBorders>
              <w:top w:val="nil"/>
              <w:left w:val="nil"/>
              <w:bottom w:val="single" w:sz="4" w:space="0" w:color="auto"/>
              <w:right w:val="single" w:sz="4" w:space="0" w:color="auto"/>
            </w:tcBorders>
            <w:shd w:val="clear" w:color="auto" w:fill="auto"/>
            <w:noWrap/>
            <w:vAlign w:val="center"/>
            <w:hideMark/>
          </w:tcPr>
          <w:p w14:paraId="6544E959" w14:textId="77777777" w:rsidR="00A6503C" w:rsidRPr="00553AEA" w:rsidRDefault="00A6503C" w:rsidP="00553AEA">
            <w:pPr>
              <w:jc w:val="right"/>
              <w:rPr>
                <w:rFonts w:ascii="Calibri" w:hAnsi="Calibri"/>
                <w:sz w:val="20"/>
                <w:szCs w:val="20"/>
              </w:rPr>
            </w:pPr>
            <w:r w:rsidRPr="00553AEA">
              <w:rPr>
                <w:rFonts w:ascii="Calibri" w:hAnsi="Calibri"/>
                <w:sz w:val="20"/>
                <w:szCs w:val="20"/>
              </w:rPr>
              <w:t>14.226,67</w:t>
            </w:r>
          </w:p>
        </w:tc>
        <w:tc>
          <w:tcPr>
            <w:tcW w:w="1320" w:type="dxa"/>
            <w:tcBorders>
              <w:top w:val="nil"/>
              <w:left w:val="nil"/>
              <w:bottom w:val="single" w:sz="4" w:space="0" w:color="auto"/>
              <w:right w:val="single" w:sz="4" w:space="0" w:color="auto"/>
            </w:tcBorders>
            <w:shd w:val="clear" w:color="auto" w:fill="auto"/>
            <w:noWrap/>
            <w:vAlign w:val="center"/>
            <w:hideMark/>
          </w:tcPr>
          <w:p w14:paraId="1FB8E4E9"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12.780,00</w:t>
            </w:r>
          </w:p>
        </w:tc>
        <w:tc>
          <w:tcPr>
            <w:tcW w:w="1080" w:type="dxa"/>
            <w:tcBorders>
              <w:top w:val="nil"/>
              <w:left w:val="nil"/>
              <w:bottom w:val="single" w:sz="4" w:space="0" w:color="auto"/>
              <w:right w:val="single" w:sz="4" w:space="0" w:color="auto"/>
            </w:tcBorders>
            <w:shd w:val="clear" w:color="auto" w:fill="auto"/>
            <w:noWrap/>
            <w:vAlign w:val="center"/>
            <w:hideMark/>
          </w:tcPr>
          <w:p w14:paraId="13326F80" w14:textId="77777777" w:rsidR="00A6503C" w:rsidRPr="00553AEA" w:rsidRDefault="00A6503C" w:rsidP="00553AEA">
            <w:pPr>
              <w:jc w:val="center"/>
              <w:rPr>
                <w:rFonts w:ascii="Calibri" w:hAnsi="Calibri"/>
                <w:sz w:val="20"/>
                <w:szCs w:val="20"/>
              </w:rPr>
            </w:pPr>
            <w:r w:rsidRPr="00553AEA">
              <w:rPr>
                <w:rFonts w:ascii="Calibri" w:hAnsi="Calibri"/>
                <w:sz w:val="20"/>
                <w:szCs w:val="20"/>
              </w:rPr>
              <w:t>89,83</w:t>
            </w:r>
          </w:p>
        </w:tc>
      </w:tr>
      <w:tr w:rsidR="00A6503C" w:rsidRPr="00553AEA" w14:paraId="41A95683"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331900A" w14:textId="77777777" w:rsidR="00A6503C" w:rsidRPr="00553AEA" w:rsidRDefault="00A6503C" w:rsidP="00553AEA">
            <w:pPr>
              <w:jc w:val="center"/>
              <w:rPr>
                <w:rFonts w:ascii="Calibri" w:hAnsi="Calibri"/>
                <w:sz w:val="20"/>
                <w:szCs w:val="20"/>
              </w:rPr>
            </w:pPr>
            <w:r w:rsidRPr="00553AEA">
              <w:rPr>
                <w:rFonts w:ascii="Calibri" w:hAnsi="Calibri"/>
                <w:sz w:val="20"/>
                <w:szCs w:val="20"/>
              </w:rPr>
              <w:t>6542</w:t>
            </w:r>
          </w:p>
        </w:tc>
        <w:tc>
          <w:tcPr>
            <w:tcW w:w="4320" w:type="dxa"/>
            <w:tcBorders>
              <w:top w:val="nil"/>
              <w:left w:val="nil"/>
              <w:bottom w:val="single" w:sz="4" w:space="0" w:color="auto"/>
              <w:right w:val="single" w:sz="4" w:space="0" w:color="auto"/>
            </w:tcBorders>
            <w:shd w:val="clear" w:color="auto" w:fill="auto"/>
            <w:vAlign w:val="center"/>
            <w:hideMark/>
          </w:tcPr>
          <w:p w14:paraId="2F6FB71C" w14:textId="77777777" w:rsidR="00A6503C" w:rsidRPr="00553AEA" w:rsidRDefault="00A6503C" w:rsidP="00553AEA">
            <w:pPr>
              <w:jc w:val="left"/>
              <w:rPr>
                <w:rFonts w:ascii="Calibri" w:hAnsi="Calibri"/>
                <w:sz w:val="20"/>
                <w:szCs w:val="20"/>
              </w:rPr>
            </w:pPr>
            <w:r w:rsidRPr="00553AEA">
              <w:rPr>
                <w:rFonts w:ascii="Calibri" w:hAnsi="Calibri"/>
                <w:sz w:val="20"/>
                <w:szCs w:val="20"/>
              </w:rPr>
              <w:t>Obaveze po osnovu autorskog rada – Neto</w:t>
            </w:r>
          </w:p>
        </w:tc>
        <w:tc>
          <w:tcPr>
            <w:tcW w:w="1340" w:type="dxa"/>
            <w:tcBorders>
              <w:top w:val="nil"/>
              <w:left w:val="nil"/>
              <w:bottom w:val="single" w:sz="4" w:space="0" w:color="auto"/>
              <w:right w:val="single" w:sz="4" w:space="0" w:color="auto"/>
            </w:tcBorders>
            <w:shd w:val="clear" w:color="auto" w:fill="auto"/>
            <w:noWrap/>
            <w:vAlign w:val="center"/>
            <w:hideMark/>
          </w:tcPr>
          <w:p w14:paraId="6BD08117" w14:textId="77777777" w:rsidR="00A6503C" w:rsidRPr="00553AEA" w:rsidRDefault="00A6503C" w:rsidP="00553AEA">
            <w:pPr>
              <w:jc w:val="right"/>
              <w:rPr>
                <w:rFonts w:ascii="Calibri" w:hAnsi="Calibri"/>
                <w:sz w:val="20"/>
                <w:szCs w:val="20"/>
              </w:rPr>
            </w:pPr>
            <w:r w:rsidRPr="00553AEA">
              <w:rPr>
                <w:rFonts w:ascii="Calibri" w:hAnsi="Calibri"/>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14:paraId="38F539FB"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6.000,00</w:t>
            </w:r>
          </w:p>
        </w:tc>
        <w:tc>
          <w:tcPr>
            <w:tcW w:w="1080" w:type="dxa"/>
            <w:tcBorders>
              <w:top w:val="nil"/>
              <w:left w:val="nil"/>
              <w:bottom w:val="single" w:sz="4" w:space="0" w:color="auto"/>
              <w:right w:val="single" w:sz="4" w:space="0" w:color="auto"/>
            </w:tcBorders>
            <w:shd w:val="clear" w:color="auto" w:fill="auto"/>
            <w:noWrap/>
            <w:vAlign w:val="center"/>
            <w:hideMark/>
          </w:tcPr>
          <w:p w14:paraId="32BE17F1" w14:textId="77777777" w:rsidR="00A6503C" w:rsidRPr="00553AEA" w:rsidRDefault="00A6503C" w:rsidP="00553AEA">
            <w:pPr>
              <w:jc w:val="center"/>
              <w:rPr>
                <w:rFonts w:ascii="Calibri" w:hAnsi="Calibri"/>
                <w:sz w:val="20"/>
                <w:szCs w:val="20"/>
              </w:rPr>
            </w:pPr>
            <w:r w:rsidRPr="00553AEA">
              <w:rPr>
                <w:rFonts w:ascii="Calibri" w:hAnsi="Calibri"/>
                <w:sz w:val="20"/>
                <w:szCs w:val="20"/>
              </w:rPr>
              <w:t>100,00</w:t>
            </w:r>
          </w:p>
        </w:tc>
      </w:tr>
      <w:tr w:rsidR="00A6503C" w:rsidRPr="00553AEA" w14:paraId="17B69C82"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1868B0E4" w14:textId="77777777" w:rsidR="00A6503C" w:rsidRPr="00553AEA" w:rsidRDefault="00A6503C" w:rsidP="00553AEA">
            <w:pPr>
              <w:jc w:val="center"/>
              <w:rPr>
                <w:rFonts w:ascii="Calibri" w:hAnsi="Calibri"/>
                <w:b/>
                <w:bCs/>
                <w:color w:val="auto"/>
                <w:sz w:val="20"/>
                <w:szCs w:val="20"/>
              </w:rPr>
            </w:pPr>
            <w:r w:rsidRPr="00553AEA">
              <w:rPr>
                <w:rFonts w:ascii="Calibri" w:hAnsi="Calibri"/>
                <w:b/>
                <w:bCs/>
                <w:color w:val="auto"/>
                <w:sz w:val="20"/>
                <w:szCs w:val="20"/>
              </w:rPr>
              <w:t>655</w:t>
            </w:r>
          </w:p>
        </w:tc>
        <w:tc>
          <w:tcPr>
            <w:tcW w:w="4320" w:type="dxa"/>
            <w:tcBorders>
              <w:top w:val="nil"/>
              <w:left w:val="nil"/>
              <w:bottom w:val="single" w:sz="4" w:space="0" w:color="auto"/>
              <w:right w:val="single" w:sz="4" w:space="0" w:color="auto"/>
            </w:tcBorders>
            <w:shd w:val="clear" w:color="000000" w:fill="C5D9F1"/>
            <w:vAlign w:val="center"/>
            <w:hideMark/>
          </w:tcPr>
          <w:p w14:paraId="0356D161" w14:textId="77777777" w:rsidR="00A6503C" w:rsidRPr="00553AEA" w:rsidRDefault="00A6503C" w:rsidP="00553AEA">
            <w:pPr>
              <w:jc w:val="left"/>
              <w:rPr>
                <w:rFonts w:ascii="Calibri" w:hAnsi="Calibri"/>
                <w:b/>
                <w:bCs/>
                <w:color w:val="auto"/>
                <w:sz w:val="20"/>
                <w:szCs w:val="20"/>
              </w:rPr>
            </w:pPr>
            <w:r w:rsidRPr="00553AEA">
              <w:rPr>
                <w:rFonts w:ascii="Calibri" w:hAnsi="Calibri"/>
                <w:b/>
                <w:bCs/>
                <w:color w:val="auto"/>
                <w:sz w:val="20"/>
                <w:szCs w:val="20"/>
              </w:rPr>
              <w:t>Ostali lični rashodi</w:t>
            </w:r>
          </w:p>
        </w:tc>
        <w:tc>
          <w:tcPr>
            <w:tcW w:w="1340" w:type="dxa"/>
            <w:tcBorders>
              <w:top w:val="nil"/>
              <w:left w:val="nil"/>
              <w:bottom w:val="single" w:sz="4" w:space="0" w:color="auto"/>
              <w:right w:val="single" w:sz="4" w:space="0" w:color="auto"/>
            </w:tcBorders>
            <w:shd w:val="clear" w:color="000000" w:fill="C5D9F1"/>
            <w:noWrap/>
            <w:vAlign w:val="center"/>
            <w:hideMark/>
          </w:tcPr>
          <w:p w14:paraId="34AB32B5"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88.670,52</w:t>
            </w:r>
          </w:p>
        </w:tc>
        <w:tc>
          <w:tcPr>
            <w:tcW w:w="1320" w:type="dxa"/>
            <w:tcBorders>
              <w:top w:val="nil"/>
              <w:left w:val="nil"/>
              <w:bottom w:val="single" w:sz="4" w:space="0" w:color="auto"/>
              <w:right w:val="single" w:sz="4" w:space="0" w:color="auto"/>
            </w:tcBorders>
            <w:shd w:val="clear" w:color="000000" w:fill="C5D9F1"/>
            <w:noWrap/>
            <w:vAlign w:val="center"/>
            <w:hideMark/>
          </w:tcPr>
          <w:p w14:paraId="26C513A3"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108.882,80</w:t>
            </w:r>
          </w:p>
        </w:tc>
        <w:tc>
          <w:tcPr>
            <w:tcW w:w="1080" w:type="dxa"/>
            <w:tcBorders>
              <w:top w:val="nil"/>
              <w:left w:val="nil"/>
              <w:bottom w:val="single" w:sz="4" w:space="0" w:color="auto"/>
              <w:right w:val="single" w:sz="4" w:space="0" w:color="auto"/>
            </w:tcBorders>
            <w:shd w:val="clear" w:color="000000" w:fill="C5D9F1"/>
            <w:noWrap/>
            <w:vAlign w:val="center"/>
            <w:hideMark/>
          </w:tcPr>
          <w:p w14:paraId="718F0B6F"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122,79</w:t>
            </w:r>
          </w:p>
        </w:tc>
      </w:tr>
      <w:tr w:rsidR="00A6503C" w:rsidRPr="00553AEA" w14:paraId="289B3415"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39EF261" w14:textId="77777777" w:rsidR="00A6503C" w:rsidRPr="00553AEA" w:rsidRDefault="00A6503C" w:rsidP="00553AEA">
            <w:pPr>
              <w:jc w:val="center"/>
              <w:rPr>
                <w:rFonts w:ascii="Calibri" w:hAnsi="Calibri"/>
                <w:sz w:val="20"/>
                <w:szCs w:val="20"/>
              </w:rPr>
            </w:pPr>
            <w:r w:rsidRPr="00553AEA">
              <w:rPr>
                <w:rFonts w:ascii="Calibri" w:hAnsi="Calibri"/>
                <w:sz w:val="20"/>
                <w:szCs w:val="20"/>
              </w:rPr>
              <w:t>6551</w:t>
            </w:r>
          </w:p>
        </w:tc>
        <w:tc>
          <w:tcPr>
            <w:tcW w:w="4320" w:type="dxa"/>
            <w:tcBorders>
              <w:top w:val="nil"/>
              <w:left w:val="nil"/>
              <w:bottom w:val="single" w:sz="4" w:space="0" w:color="auto"/>
              <w:right w:val="single" w:sz="4" w:space="0" w:color="auto"/>
            </w:tcBorders>
            <w:shd w:val="clear" w:color="auto" w:fill="auto"/>
            <w:vAlign w:val="center"/>
            <w:hideMark/>
          </w:tcPr>
          <w:p w14:paraId="13C55433" w14:textId="1563D418" w:rsidR="00A6503C" w:rsidRPr="00553AEA" w:rsidRDefault="00A6503C" w:rsidP="00553AEA">
            <w:pPr>
              <w:jc w:val="left"/>
              <w:rPr>
                <w:rFonts w:ascii="Calibri" w:hAnsi="Calibri"/>
                <w:sz w:val="20"/>
                <w:szCs w:val="20"/>
              </w:rPr>
            </w:pPr>
            <w:r w:rsidRPr="00553AEA">
              <w:rPr>
                <w:rFonts w:ascii="Calibri" w:hAnsi="Calibri"/>
                <w:sz w:val="20"/>
                <w:szCs w:val="20"/>
              </w:rPr>
              <w:t xml:space="preserve">Troškovi </w:t>
            </w:r>
            <w:r w:rsidR="002C563F">
              <w:rPr>
                <w:rFonts w:ascii="Calibri" w:hAnsi="Calibri"/>
                <w:sz w:val="20"/>
                <w:szCs w:val="20"/>
              </w:rPr>
              <w:t>prevoza</w:t>
            </w:r>
          </w:p>
        </w:tc>
        <w:tc>
          <w:tcPr>
            <w:tcW w:w="1340" w:type="dxa"/>
            <w:tcBorders>
              <w:top w:val="nil"/>
              <w:left w:val="nil"/>
              <w:bottom w:val="single" w:sz="4" w:space="0" w:color="auto"/>
              <w:right w:val="single" w:sz="4" w:space="0" w:color="auto"/>
            </w:tcBorders>
            <w:shd w:val="clear" w:color="auto" w:fill="auto"/>
            <w:noWrap/>
            <w:vAlign w:val="center"/>
            <w:hideMark/>
          </w:tcPr>
          <w:p w14:paraId="143BDDA8" w14:textId="77777777" w:rsidR="00A6503C" w:rsidRPr="00553AEA" w:rsidRDefault="00A6503C" w:rsidP="00553AEA">
            <w:pPr>
              <w:jc w:val="right"/>
              <w:rPr>
                <w:rFonts w:ascii="Calibri" w:hAnsi="Calibri"/>
                <w:sz w:val="20"/>
                <w:szCs w:val="20"/>
              </w:rPr>
            </w:pPr>
            <w:r w:rsidRPr="00553AEA">
              <w:rPr>
                <w:rFonts w:ascii="Calibri" w:hAnsi="Calibri"/>
                <w:sz w:val="20"/>
                <w:szCs w:val="20"/>
              </w:rPr>
              <w:t>19.693,18</w:t>
            </w:r>
          </w:p>
        </w:tc>
        <w:tc>
          <w:tcPr>
            <w:tcW w:w="1320" w:type="dxa"/>
            <w:tcBorders>
              <w:top w:val="nil"/>
              <w:left w:val="nil"/>
              <w:bottom w:val="single" w:sz="4" w:space="0" w:color="auto"/>
              <w:right w:val="single" w:sz="4" w:space="0" w:color="auto"/>
            </w:tcBorders>
            <w:shd w:val="clear" w:color="auto" w:fill="auto"/>
            <w:noWrap/>
            <w:vAlign w:val="center"/>
            <w:hideMark/>
          </w:tcPr>
          <w:p w14:paraId="57B32130"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20.192,64</w:t>
            </w:r>
          </w:p>
        </w:tc>
        <w:tc>
          <w:tcPr>
            <w:tcW w:w="1080" w:type="dxa"/>
            <w:tcBorders>
              <w:top w:val="nil"/>
              <w:left w:val="nil"/>
              <w:bottom w:val="single" w:sz="4" w:space="0" w:color="auto"/>
              <w:right w:val="single" w:sz="4" w:space="0" w:color="auto"/>
            </w:tcBorders>
            <w:shd w:val="clear" w:color="auto" w:fill="auto"/>
            <w:noWrap/>
            <w:vAlign w:val="center"/>
            <w:hideMark/>
          </w:tcPr>
          <w:p w14:paraId="0E0D2042" w14:textId="77777777" w:rsidR="00A6503C" w:rsidRPr="00553AEA" w:rsidRDefault="00A6503C" w:rsidP="00553AEA">
            <w:pPr>
              <w:jc w:val="center"/>
              <w:rPr>
                <w:rFonts w:ascii="Calibri" w:hAnsi="Calibri"/>
                <w:sz w:val="20"/>
                <w:szCs w:val="20"/>
              </w:rPr>
            </w:pPr>
            <w:r w:rsidRPr="00553AEA">
              <w:rPr>
                <w:rFonts w:ascii="Calibri" w:hAnsi="Calibri"/>
                <w:sz w:val="20"/>
                <w:szCs w:val="20"/>
              </w:rPr>
              <w:t>102,54</w:t>
            </w:r>
          </w:p>
        </w:tc>
      </w:tr>
      <w:tr w:rsidR="00A6503C" w:rsidRPr="00553AEA" w14:paraId="5CADAB5D"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529D4A1" w14:textId="77777777" w:rsidR="00A6503C" w:rsidRPr="00553AEA" w:rsidRDefault="00A6503C" w:rsidP="00553AEA">
            <w:pPr>
              <w:jc w:val="center"/>
              <w:rPr>
                <w:rFonts w:ascii="Calibri" w:hAnsi="Calibri"/>
                <w:sz w:val="20"/>
                <w:szCs w:val="20"/>
              </w:rPr>
            </w:pPr>
            <w:r w:rsidRPr="00553AEA">
              <w:rPr>
                <w:rFonts w:ascii="Calibri" w:hAnsi="Calibri"/>
                <w:sz w:val="20"/>
                <w:szCs w:val="20"/>
              </w:rPr>
              <w:t>65510</w:t>
            </w:r>
          </w:p>
        </w:tc>
        <w:tc>
          <w:tcPr>
            <w:tcW w:w="4320" w:type="dxa"/>
            <w:tcBorders>
              <w:top w:val="nil"/>
              <w:left w:val="nil"/>
              <w:bottom w:val="single" w:sz="4" w:space="0" w:color="auto"/>
              <w:right w:val="single" w:sz="4" w:space="0" w:color="auto"/>
            </w:tcBorders>
            <w:shd w:val="clear" w:color="auto" w:fill="auto"/>
            <w:vAlign w:val="center"/>
            <w:hideMark/>
          </w:tcPr>
          <w:p w14:paraId="10CF1DE0"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otpremnine</w:t>
            </w:r>
          </w:p>
        </w:tc>
        <w:tc>
          <w:tcPr>
            <w:tcW w:w="1340" w:type="dxa"/>
            <w:tcBorders>
              <w:top w:val="nil"/>
              <w:left w:val="nil"/>
              <w:bottom w:val="single" w:sz="4" w:space="0" w:color="auto"/>
              <w:right w:val="single" w:sz="4" w:space="0" w:color="auto"/>
            </w:tcBorders>
            <w:shd w:val="clear" w:color="auto" w:fill="auto"/>
            <w:noWrap/>
            <w:vAlign w:val="center"/>
            <w:hideMark/>
          </w:tcPr>
          <w:p w14:paraId="74B9D7BD" w14:textId="77777777" w:rsidR="00A6503C" w:rsidRPr="00553AEA" w:rsidRDefault="00A6503C" w:rsidP="00553AEA">
            <w:pPr>
              <w:jc w:val="right"/>
              <w:rPr>
                <w:rFonts w:ascii="Calibri" w:hAnsi="Calibri"/>
                <w:sz w:val="20"/>
                <w:szCs w:val="20"/>
              </w:rPr>
            </w:pPr>
            <w:r w:rsidRPr="00553AEA">
              <w:rPr>
                <w:rFonts w:ascii="Calibri" w:hAnsi="Calibri"/>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189664C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26.422,48</w:t>
            </w:r>
          </w:p>
        </w:tc>
        <w:tc>
          <w:tcPr>
            <w:tcW w:w="1080" w:type="dxa"/>
            <w:tcBorders>
              <w:top w:val="nil"/>
              <w:left w:val="nil"/>
              <w:bottom w:val="single" w:sz="4" w:space="0" w:color="auto"/>
              <w:right w:val="single" w:sz="4" w:space="0" w:color="auto"/>
            </w:tcBorders>
            <w:shd w:val="clear" w:color="auto" w:fill="auto"/>
            <w:noWrap/>
            <w:vAlign w:val="center"/>
            <w:hideMark/>
          </w:tcPr>
          <w:p w14:paraId="5CA5B8C1"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5A6F392F"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D93F42B" w14:textId="77777777" w:rsidR="00A6503C" w:rsidRPr="00553AEA" w:rsidRDefault="00A6503C" w:rsidP="00553AEA">
            <w:pPr>
              <w:jc w:val="center"/>
              <w:rPr>
                <w:rFonts w:ascii="Calibri" w:hAnsi="Calibri"/>
                <w:sz w:val="20"/>
                <w:szCs w:val="20"/>
              </w:rPr>
            </w:pPr>
            <w:r w:rsidRPr="00553AEA">
              <w:rPr>
                <w:rFonts w:ascii="Calibri" w:hAnsi="Calibri"/>
                <w:sz w:val="20"/>
                <w:szCs w:val="20"/>
              </w:rPr>
              <w:t>6552</w:t>
            </w:r>
          </w:p>
        </w:tc>
        <w:tc>
          <w:tcPr>
            <w:tcW w:w="4320" w:type="dxa"/>
            <w:tcBorders>
              <w:top w:val="nil"/>
              <w:left w:val="nil"/>
              <w:bottom w:val="single" w:sz="4" w:space="0" w:color="auto"/>
              <w:right w:val="single" w:sz="4" w:space="0" w:color="auto"/>
            </w:tcBorders>
            <w:shd w:val="clear" w:color="auto" w:fill="auto"/>
            <w:vAlign w:val="center"/>
            <w:hideMark/>
          </w:tcPr>
          <w:p w14:paraId="000ABFE3" w14:textId="646EA498" w:rsidR="00A6503C" w:rsidRPr="00553AEA" w:rsidRDefault="00A6503C" w:rsidP="00553AEA">
            <w:pPr>
              <w:jc w:val="left"/>
              <w:rPr>
                <w:rFonts w:ascii="Calibri" w:hAnsi="Calibri"/>
                <w:sz w:val="20"/>
                <w:szCs w:val="20"/>
              </w:rPr>
            </w:pPr>
            <w:r w:rsidRPr="00553AEA">
              <w:rPr>
                <w:rFonts w:ascii="Calibri" w:hAnsi="Calibri"/>
                <w:sz w:val="20"/>
                <w:szCs w:val="20"/>
              </w:rPr>
              <w:t>Troškovi dn</w:t>
            </w:r>
            <w:r w:rsidR="002C563F">
              <w:rPr>
                <w:rFonts w:ascii="Calibri" w:hAnsi="Calibri"/>
                <w:sz w:val="20"/>
                <w:szCs w:val="20"/>
              </w:rPr>
              <w:t xml:space="preserve">evnica </w:t>
            </w:r>
          </w:p>
        </w:tc>
        <w:tc>
          <w:tcPr>
            <w:tcW w:w="1340" w:type="dxa"/>
            <w:tcBorders>
              <w:top w:val="nil"/>
              <w:left w:val="nil"/>
              <w:bottom w:val="single" w:sz="4" w:space="0" w:color="auto"/>
              <w:right w:val="single" w:sz="4" w:space="0" w:color="auto"/>
            </w:tcBorders>
            <w:shd w:val="clear" w:color="auto" w:fill="auto"/>
            <w:noWrap/>
            <w:vAlign w:val="center"/>
            <w:hideMark/>
          </w:tcPr>
          <w:p w14:paraId="377005A9" w14:textId="77777777" w:rsidR="00A6503C" w:rsidRPr="00553AEA" w:rsidRDefault="00A6503C" w:rsidP="00553AEA">
            <w:pPr>
              <w:jc w:val="right"/>
              <w:rPr>
                <w:rFonts w:ascii="Calibri" w:hAnsi="Calibri"/>
                <w:sz w:val="20"/>
                <w:szCs w:val="20"/>
              </w:rPr>
            </w:pPr>
            <w:r w:rsidRPr="00553AEA">
              <w:rPr>
                <w:rFonts w:ascii="Calibri" w:hAnsi="Calibri"/>
                <w:sz w:val="20"/>
                <w:szCs w:val="20"/>
              </w:rPr>
              <w:t>5.007,81</w:t>
            </w:r>
          </w:p>
        </w:tc>
        <w:tc>
          <w:tcPr>
            <w:tcW w:w="1320" w:type="dxa"/>
            <w:tcBorders>
              <w:top w:val="nil"/>
              <w:left w:val="nil"/>
              <w:bottom w:val="single" w:sz="4" w:space="0" w:color="auto"/>
              <w:right w:val="single" w:sz="4" w:space="0" w:color="auto"/>
            </w:tcBorders>
            <w:shd w:val="clear" w:color="auto" w:fill="auto"/>
            <w:noWrap/>
            <w:vAlign w:val="center"/>
            <w:hideMark/>
          </w:tcPr>
          <w:p w14:paraId="5F9605F3"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4.711,15</w:t>
            </w:r>
          </w:p>
        </w:tc>
        <w:tc>
          <w:tcPr>
            <w:tcW w:w="1080" w:type="dxa"/>
            <w:tcBorders>
              <w:top w:val="nil"/>
              <w:left w:val="nil"/>
              <w:bottom w:val="single" w:sz="4" w:space="0" w:color="auto"/>
              <w:right w:val="single" w:sz="4" w:space="0" w:color="auto"/>
            </w:tcBorders>
            <w:shd w:val="clear" w:color="auto" w:fill="auto"/>
            <w:noWrap/>
            <w:vAlign w:val="center"/>
            <w:hideMark/>
          </w:tcPr>
          <w:p w14:paraId="196F35CA" w14:textId="77777777" w:rsidR="00A6503C" w:rsidRPr="00553AEA" w:rsidRDefault="00A6503C" w:rsidP="00553AEA">
            <w:pPr>
              <w:jc w:val="center"/>
              <w:rPr>
                <w:rFonts w:ascii="Calibri" w:hAnsi="Calibri"/>
                <w:sz w:val="20"/>
                <w:szCs w:val="20"/>
              </w:rPr>
            </w:pPr>
            <w:r w:rsidRPr="00553AEA">
              <w:rPr>
                <w:rFonts w:ascii="Calibri" w:hAnsi="Calibri"/>
                <w:sz w:val="20"/>
                <w:szCs w:val="20"/>
              </w:rPr>
              <w:t>94,08</w:t>
            </w:r>
          </w:p>
        </w:tc>
      </w:tr>
      <w:tr w:rsidR="00A6503C" w:rsidRPr="00553AEA" w14:paraId="6B43AD56"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7F19FC1" w14:textId="77777777" w:rsidR="00A6503C" w:rsidRPr="00553AEA" w:rsidRDefault="00A6503C" w:rsidP="00553AEA">
            <w:pPr>
              <w:jc w:val="center"/>
              <w:rPr>
                <w:rFonts w:ascii="Calibri" w:hAnsi="Calibri"/>
                <w:sz w:val="20"/>
                <w:szCs w:val="20"/>
              </w:rPr>
            </w:pPr>
            <w:r w:rsidRPr="00553AEA">
              <w:rPr>
                <w:rFonts w:ascii="Calibri" w:hAnsi="Calibri"/>
                <w:sz w:val="20"/>
                <w:szCs w:val="20"/>
              </w:rPr>
              <w:t>6553</w:t>
            </w:r>
          </w:p>
        </w:tc>
        <w:tc>
          <w:tcPr>
            <w:tcW w:w="4320" w:type="dxa"/>
            <w:tcBorders>
              <w:top w:val="nil"/>
              <w:left w:val="nil"/>
              <w:bottom w:val="single" w:sz="4" w:space="0" w:color="auto"/>
              <w:right w:val="single" w:sz="4" w:space="0" w:color="auto"/>
            </w:tcBorders>
            <w:shd w:val="clear" w:color="auto" w:fill="auto"/>
            <w:vAlign w:val="center"/>
            <w:hideMark/>
          </w:tcPr>
          <w:p w14:paraId="0B8AAD99"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smještaja i hrane na službenom putu</w:t>
            </w:r>
          </w:p>
        </w:tc>
        <w:tc>
          <w:tcPr>
            <w:tcW w:w="1340" w:type="dxa"/>
            <w:tcBorders>
              <w:top w:val="nil"/>
              <w:left w:val="nil"/>
              <w:bottom w:val="single" w:sz="4" w:space="0" w:color="auto"/>
              <w:right w:val="single" w:sz="4" w:space="0" w:color="auto"/>
            </w:tcBorders>
            <w:shd w:val="clear" w:color="auto" w:fill="auto"/>
            <w:noWrap/>
            <w:vAlign w:val="center"/>
            <w:hideMark/>
          </w:tcPr>
          <w:p w14:paraId="62326B12" w14:textId="77777777" w:rsidR="00A6503C" w:rsidRPr="00553AEA" w:rsidRDefault="00A6503C" w:rsidP="00553AEA">
            <w:pPr>
              <w:jc w:val="right"/>
              <w:rPr>
                <w:rFonts w:ascii="Calibri" w:hAnsi="Calibri"/>
                <w:sz w:val="20"/>
                <w:szCs w:val="20"/>
              </w:rPr>
            </w:pPr>
            <w:r w:rsidRPr="00553AEA">
              <w:rPr>
                <w:rFonts w:ascii="Calibri" w:hAnsi="Calibri"/>
                <w:sz w:val="20"/>
                <w:szCs w:val="20"/>
              </w:rPr>
              <w:t>13.000,00</w:t>
            </w:r>
          </w:p>
        </w:tc>
        <w:tc>
          <w:tcPr>
            <w:tcW w:w="1320" w:type="dxa"/>
            <w:tcBorders>
              <w:top w:val="nil"/>
              <w:left w:val="nil"/>
              <w:bottom w:val="single" w:sz="4" w:space="0" w:color="auto"/>
              <w:right w:val="single" w:sz="4" w:space="0" w:color="auto"/>
            </w:tcBorders>
            <w:shd w:val="clear" w:color="auto" w:fill="auto"/>
            <w:noWrap/>
            <w:vAlign w:val="center"/>
            <w:hideMark/>
          </w:tcPr>
          <w:p w14:paraId="43427CF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16.096,81</w:t>
            </w:r>
          </w:p>
        </w:tc>
        <w:tc>
          <w:tcPr>
            <w:tcW w:w="1080" w:type="dxa"/>
            <w:tcBorders>
              <w:top w:val="nil"/>
              <w:left w:val="nil"/>
              <w:bottom w:val="single" w:sz="4" w:space="0" w:color="auto"/>
              <w:right w:val="single" w:sz="4" w:space="0" w:color="auto"/>
            </w:tcBorders>
            <w:shd w:val="clear" w:color="auto" w:fill="auto"/>
            <w:noWrap/>
            <w:vAlign w:val="center"/>
            <w:hideMark/>
          </w:tcPr>
          <w:p w14:paraId="68C1BB84" w14:textId="77777777" w:rsidR="00A6503C" w:rsidRPr="00553AEA" w:rsidRDefault="00A6503C" w:rsidP="00553AEA">
            <w:pPr>
              <w:jc w:val="center"/>
              <w:rPr>
                <w:rFonts w:ascii="Calibri" w:hAnsi="Calibri"/>
                <w:sz w:val="20"/>
                <w:szCs w:val="20"/>
              </w:rPr>
            </w:pPr>
            <w:r w:rsidRPr="00553AEA">
              <w:rPr>
                <w:rFonts w:ascii="Calibri" w:hAnsi="Calibri"/>
                <w:sz w:val="20"/>
                <w:szCs w:val="20"/>
              </w:rPr>
              <w:t>123,82</w:t>
            </w:r>
          </w:p>
        </w:tc>
      </w:tr>
      <w:tr w:rsidR="00A6503C" w:rsidRPr="00553AEA" w14:paraId="3D0DCE28"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E5DBC26" w14:textId="77777777" w:rsidR="00A6503C" w:rsidRPr="00553AEA" w:rsidRDefault="00A6503C" w:rsidP="00553AEA">
            <w:pPr>
              <w:jc w:val="center"/>
              <w:rPr>
                <w:rFonts w:ascii="Calibri" w:hAnsi="Calibri"/>
                <w:sz w:val="20"/>
                <w:szCs w:val="20"/>
              </w:rPr>
            </w:pPr>
            <w:r w:rsidRPr="00553AEA">
              <w:rPr>
                <w:rFonts w:ascii="Calibri" w:hAnsi="Calibri"/>
                <w:sz w:val="20"/>
                <w:szCs w:val="20"/>
              </w:rPr>
              <w:t>6554</w:t>
            </w:r>
          </w:p>
        </w:tc>
        <w:tc>
          <w:tcPr>
            <w:tcW w:w="4320" w:type="dxa"/>
            <w:tcBorders>
              <w:top w:val="nil"/>
              <w:left w:val="nil"/>
              <w:bottom w:val="single" w:sz="4" w:space="0" w:color="auto"/>
              <w:right w:val="single" w:sz="4" w:space="0" w:color="auto"/>
            </w:tcBorders>
            <w:shd w:val="clear" w:color="auto" w:fill="auto"/>
            <w:vAlign w:val="center"/>
            <w:hideMark/>
          </w:tcPr>
          <w:p w14:paraId="0D07B3AE"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prevoza na službenom putu</w:t>
            </w:r>
          </w:p>
        </w:tc>
        <w:tc>
          <w:tcPr>
            <w:tcW w:w="1340" w:type="dxa"/>
            <w:tcBorders>
              <w:top w:val="nil"/>
              <w:left w:val="nil"/>
              <w:bottom w:val="single" w:sz="4" w:space="0" w:color="auto"/>
              <w:right w:val="single" w:sz="4" w:space="0" w:color="auto"/>
            </w:tcBorders>
            <w:shd w:val="clear" w:color="auto" w:fill="auto"/>
            <w:noWrap/>
            <w:vAlign w:val="center"/>
            <w:hideMark/>
          </w:tcPr>
          <w:p w14:paraId="7B84E4B0" w14:textId="77777777" w:rsidR="00A6503C" w:rsidRPr="00553AEA" w:rsidRDefault="00A6503C" w:rsidP="00553AEA">
            <w:pPr>
              <w:jc w:val="right"/>
              <w:rPr>
                <w:rFonts w:ascii="Calibri" w:hAnsi="Calibri"/>
                <w:sz w:val="20"/>
                <w:szCs w:val="20"/>
              </w:rPr>
            </w:pPr>
            <w:r w:rsidRPr="00553AEA">
              <w:rPr>
                <w:rFonts w:ascii="Calibri" w:hAnsi="Calibri"/>
                <w:sz w:val="20"/>
                <w:szCs w:val="20"/>
              </w:rPr>
              <w:t>1.800,00</w:t>
            </w:r>
          </w:p>
        </w:tc>
        <w:tc>
          <w:tcPr>
            <w:tcW w:w="1320" w:type="dxa"/>
            <w:tcBorders>
              <w:top w:val="nil"/>
              <w:left w:val="nil"/>
              <w:bottom w:val="single" w:sz="4" w:space="0" w:color="auto"/>
              <w:right w:val="single" w:sz="4" w:space="0" w:color="auto"/>
            </w:tcBorders>
            <w:shd w:val="clear" w:color="auto" w:fill="auto"/>
            <w:noWrap/>
            <w:vAlign w:val="center"/>
            <w:hideMark/>
          </w:tcPr>
          <w:p w14:paraId="344622E8"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4.693,38</w:t>
            </w:r>
          </w:p>
        </w:tc>
        <w:tc>
          <w:tcPr>
            <w:tcW w:w="1080" w:type="dxa"/>
            <w:tcBorders>
              <w:top w:val="nil"/>
              <w:left w:val="nil"/>
              <w:bottom w:val="single" w:sz="4" w:space="0" w:color="auto"/>
              <w:right w:val="single" w:sz="4" w:space="0" w:color="auto"/>
            </w:tcBorders>
            <w:shd w:val="clear" w:color="auto" w:fill="auto"/>
            <w:noWrap/>
            <w:vAlign w:val="center"/>
            <w:hideMark/>
          </w:tcPr>
          <w:p w14:paraId="01B5F893" w14:textId="77777777" w:rsidR="00A6503C" w:rsidRPr="00553AEA" w:rsidRDefault="00A6503C" w:rsidP="00553AEA">
            <w:pPr>
              <w:jc w:val="center"/>
              <w:rPr>
                <w:rFonts w:ascii="Calibri" w:hAnsi="Calibri"/>
                <w:sz w:val="20"/>
                <w:szCs w:val="20"/>
              </w:rPr>
            </w:pPr>
            <w:r w:rsidRPr="00553AEA">
              <w:rPr>
                <w:rFonts w:ascii="Calibri" w:hAnsi="Calibri"/>
                <w:sz w:val="20"/>
                <w:szCs w:val="20"/>
              </w:rPr>
              <w:t>260,74</w:t>
            </w:r>
          </w:p>
        </w:tc>
      </w:tr>
      <w:tr w:rsidR="00A6503C" w:rsidRPr="00553AEA" w14:paraId="612F6CC4"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5AABB8F" w14:textId="77777777" w:rsidR="00A6503C" w:rsidRPr="00553AEA" w:rsidRDefault="00A6503C" w:rsidP="00553AEA">
            <w:pPr>
              <w:jc w:val="center"/>
              <w:rPr>
                <w:rFonts w:ascii="Calibri" w:hAnsi="Calibri"/>
                <w:sz w:val="20"/>
                <w:szCs w:val="20"/>
              </w:rPr>
            </w:pPr>
            <w:r w:rsidRPr="00553AEA">
              <w:rPr>
                <w:rFonts w:ascii="Calibri" w:hAnsi="Calibri"/>
                <w:sz w:val="20"/>
                <w:szCs w:val="20"/>
              </w:rPr>
              <w:t>6556</w:t>
            </w:r>
          </w:p>
        </w:tc>
        <w:tc>
          <w:tcPr>
            <w:tcW w:w="4320" w:type="dxa"/>
            <w:tcBorders>
              <w:top w:val="nil"/>
              <w:left w:val="nil"/>
              <w:bottom w:val="single" w:sz="4" w:space="0" w:color="auto"/>
              <w:right w:val="single" w:sz="4" w:space="0" w:color="auto"/>
            </w:tcBorders>
            <w:shd w:val="clear" w:color="auto" w:fill="auto"/>
            <w:vAlign w:val="center"/>
            <w:hideMark/>
          </w:tcPr>
          <w:p w14:paraId="11EA446E"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putarine na službenom putu</w:t>
            </w:r>
          </w:p>
        </w:tc>
        <w:tc>
          <w:tcPr>
            <w:tcW w:w="1340" w:type="dxa"/>
            <w:tcBorders>
              <w:top w:val="nil"/>
              <w:left w:val="nil"/>
              <w:bottom w:val="single" w:sz="4" w:space="0" w:color="auto"/>
              <w:right w:val="single" w:sz="4" w:space="0" w:color="auto"/>
            </w:tcBorders>
            <w:shd w:val="clear" w:color="auto" w:fill="auto"/>
            <w:noWrap/>
            <w:vAlign w:val="center"/>
            <w:hideMark/>
          </w:tcPr>
          <w:p w14:paraId="634FDD84" w14:textId="77777777" w:rsidR="00A6503C" w:rsidRPr="00553AEA" w:rsidRDefault="00A6503C" w:rsidP="00553AEA">
            <w:pPr>
              <w:jc w:val="right"/>
              <w:rPr>
                <w:rFonts w:ascii="Calibri" w:hAnsi="Calibri"/>
                <w:sz w:val="20"/>
                <w:szCs w:val="20"/>
              </w:rPr>
            </w:pPr>
            <w:r w:rsidRPr="00553AEA">
              <w:rPr>
                <w:rFonts w:ascii="Calibri" w:hAnsi="Calibri"/>
                <w:sz w:val="20"/>
                <w:szCs w:val="20"/>
              </w:rPr>
              <w:t>1.200,00</w:t>
            </w:r>
          </w:p>
        </w:tc>
        <w:tc>
          <w:tcPr>
            <w:tcW w:w="1320" w:type="dxa"/>
            <w:tcBorders>
              <w:top w:val="nil"/>
              <w:left w:val="nil"/>
              <w:bottom w:val="single" w:sz="4" w:space="0" w:color="auto"/>
              <w:right w:val="single" w:sz="4" w:space="0" w:color="auto"/>
            </w:tcBorders>
            <w:shd w:val="clear" w:color="auto" w:fill="auto"/>
            <w:noWrap/>
            <w:vAlign w:val="center"/>
            <w:hideMark/>
          </w:tcPr>
          <w:p w14:paraId="09F1FB94"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833,54</w:t>
            </w:r>
          </w:p>
        </w:tc>
        <w:tc>
          <w:tcPr>
            <w:tcW w:w="1080" w:type="dxa"/>
            <w:tcBorders>
              <w:top w:val="nil"/>
              <w:left w:val="nil"/>
              <w:bottom w:val="single" w:sz="4" w:space="0" w:color="auto"/>
              <w:right w:val="single" w:sz="4" w:space="0" w:color="auto"/>
            </w:tcBorders>
            <w:shd w:val="clear" w:color="auto" w:fill="auto"/>
            <w:noWrap/>
            <w:vAlign w:val="center"/>
            <w:hideMark/>
          </w:tcPr>
          <w:p w14:paraId="234D2273" w14:textId="77777777" w:rsidR="00A6503C" w:rsidRPr="00553AEA" w:rsidRDefault="00A6503C" w:rsidP="00553AEA">
            <w:pPr>
              <w:jc w:val="center"/>
              <w:rPr>
                <w:rFonts w:ascii="Calibri" w:hAnsi="Calibri"/>
                <w:sz w:val="20"/>
                <w:szCs w:val="20"/>
              </w:rPr>
            </w:pPr>
            <w:r w:rsidRPr="00553AEA">
              <w:rPr>
                <w:rFonts w:ascii="Calibri" w:hAnsi="Calibri"/>
                <w:sz w:val="20"/>
                <w:szCs w:val="20"/>
              </w:rPr>
              <w:t>69,46</w:t>
            </w:r>
          </w:p>
        </w:tc>
      </w:tr>
      <w:tr w:rsidR="00A6503C" w:rsidRPr="00553AEA" w14:paraId="57731902"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36C96FB" w14:textId="77777777" w:rsidR="00A6503C" w:rsidRPr="00553AEA" w:rsidRDefault="00A6503C" w:rsidP="00553AEA">
            <w:pPr>
              <w:jc w:val="center"/>
              <w:rPr>
                <w:rFonts w:ascii="Calibri" w:hAnsi="Calibri"/>
                <w:sz w:val="20"/>
                <w:szCs w:val="20"/>
              </w:rPr>
            </w:pPr>
            <w:r w:rsidRPr="00553AEA">
              <w:rPr>
                <w:rFonts w:ascii="Calibri" w:hAnsi="Calibri"/>
                <w:sz w:val="20"/>
                <w:szCs w:val="20"/>
              </w:rPr>
              <w:t>6557</w:t>
            </w:r>
          </w:p>
        </w:tc>
        <w:tc>
          <w:tcPr>
            <w:tcW w:w="4320" w:type="dxa"/>
            <w:tcBorders>
              <w:top w:val="nil"/>
              <w:left w:val="nil"/>
              <w:bottom w:val="single" w:sz="4" w:space="0" w:color="auto"/>
              <w:right w:val="single" w:sz="4" w:space="0" w:color="auto"/>
            </w:tcBorders>
            <w:shd w:val="clear" w:color="auto" w:fill="auto"/>
            <w:vAlign w:val="center"/>
            <w:hideMark/>
          </w:tcPr>
          <w:p w14:paraId="27E91E16"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goriva službenog automobila</w:t>
            </w:r>
          </w:p>
        </w:tc>
        <w:tc>
          <w:tcPr>
            <w:tcW w:w="1340" w:type="dxa"/>
            <w:tcBorders>
              <w:top w:val="nil"/>
              <w:left w:val="nil"/>
              <w:bottom w:val="single" w:sz="4" w:space="0" w:color="auto"/>
              <w:right w:val="single" w:sz="4" w:space="0" w:color="auto"/>
            </w:tcBorders>
            <w:shd w:val="clear" w:color="auto" w:fill="auto"/>
            <w:noWrap/>
            <w:vAlign w:val="center"/>
            <w:hideMark/>
          </w:tcPr>
          <w:p w14:paraId="3533F20F" w14:textId="77777777" w:rsidR="00A6503C" w:rsidRPr="00553AEA" w:rsidRDefault="00A6503C" w:rsidP="00553AEA">
            <w:pPr>
              <w:jc w:val="right"/>
              <w:rPr>
                <w:rFonts w:ascii="Calibri" w:hAnsi="Calibri"/>
                <w:sz w:val="20"/>
                <w:szCs w:val="20"/>
              </w:rPr>
            </w:pPr>
            <w:r w:rsidRPr="00553AEA">
              <w:rPr>
                <w:rFonts w:ascii="Calibri" w:hAnsi="Calibri"/>
                <w:sz w:val="20"/>
                <w:szCs w:val="20"/>
              </w:rPr>
              <w:t>21.369,54</w:t>
            </w:r>
          </w:p>
        </w:tc>
        <w:tc>
          <w:tcPr>
            <w:tcW w:w="1320" w:type="dxa"/>
            <w:tcBorders>
              <w:top w:val="nil"/>
              <w:left w:val="nil"/>
              <w:bottom w:val="single" w:sz="4" w:space="0" w:color="auto"/>
              <w:right w:val="single" w:sz="4" w:space="0" w:color="auto"/>
            </w:tcBorders>
            <w:shd w:val="clear" w:color="auto" w:fill="auto"/>
            <w:noWrap/>
            <w:vAlign w:val="center"/>
            <w:hideMark/>
          </w:tcPr>
          <w:p w14:paraId="24D9E88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9.088,97</w:t>
            </w:r>
          </w:p>
        </w:tc>
        <w:tc>
          <w:tcPr>
            <w:tcW w:w="1080" w:type="dxa"/>
            <w:tcBorders>
              <w:top w:val="nil"/>
              <w:left w:val="nil"/>
              <w:bottom w:val="single" w:sz="4" w:space="0" w:color="auto"/>
              <w:right w:val="single" w:sz="4" w:space="0" w:color="auto"/>
            </w:tcBorders>
            <w:shd w:val="clear" w:color="auto" w:fill="auto"/>
            <w:noWrap/>
            <w:vAlign w:val="center"/>
            <w:hideMark/>
          </w:tcPr>
          <w:p w14:paraId="56BACDB9" w14:textId="77777777" w:rsidR="00A6503C" w:rsidRPr="00553AEA" w:rsidRDefault="00A6503C" w:rsidP="00553AEA">
            <w:pPr>
              <w:jc w:val="center"/>
              <w:rPr>
                <w:rFonts w:ascii="Calibri" w:hAnsi="Calibri"/>
                <w:sz w:val="20"/>
                <w:szCs w:val="20"/>
              </w:rPr>
            </w:pPr>
            <w:r w:rsidRPr="00553AEA">
              <w:rPr>
                <w:rFonts w:ascii="Calibri" w:hAnsi="Calibri"/>
                <w:sz w:val="20"/>
                <w:szCs w:val="20"/>
              </w:rPr>
              <w:t>42,53</w:t>
            </w:r>
          </w:p>
        </w:tc>
      </w:tr>
      <w:tr w:rsidR="00A6503C" w:rsidRPr="00553AEA" w14:paraId="35B3709F"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59343A8" w14:textId="77777777" w:rsidR="00A6503C" w:rsidRPr="00553AEA" w:rsidRDefault="00A6503C" w:rsidP="00553AEA">
            <w:pPr>
              <w:jc w:val="center"/>
              <w:rPr>
                <w:rFonts w:ascii="Calibri" w:hAnsi="Calibri"/>
                <w:color w:val="auto"/>
                <w:sz w:val="20"/>
                <w:szCs w:val="20"/>
              </w:rPr>
            </w:pPr>
            <w:r w:rsidRPr="00553AEA">
              <w:rPr>
                <w:rFonts w:ascii="Calibri" w:hAnsi="Calibri"/>
                <w:color w:val="auto"/>
                <w:sz w:val="20"/>
                <w:szCs w:val="20"/>
              </w:rPr>
              <w:t>6558</w:t>
            </w:r>
          </w:p>
        </w:tc>
        <w:tc>
          <w:tcPr>
            <w:tcW w:w="4320" w:type="dxa"/>
            <w:tcBorders>
              <w:top w:val="nil"/>
              <w:left w:val="nil"/>
              <w:bottom w:val="single" w:sz="4" w:space="0" w:color="auto"/>
              <w:right w:val="single" w:sz="4" w:space="0" w:color="auto"/>
            </w:tcBorders>
            <w:shd w:val="clear" w:color="auto" w:fill="auto"/>
            <w:vAlign w:val="center"/>
            <w:hideMark/>
          </w:tcPr>
          <w:p w14:paraId="2D976D62" w14:textId="77777777" w:rsidR="00A6503C" w:rsidRPr="00553AEA" w:rsidRDefault="00A6503C" w:rsidP="00553AEA">
            <w:pPr>
              <w:jc w:val="left"/>
              <w:rPr>
                <w:rFonts w:ascii="Calibri" w:hAnsi="Calibri"/>
                <w:color w:val="auto"/>
                <w:sz w:val="20"/>
                <w:szCs w:val="20"/>
              </w:rPr>
            </w:pPr>
            <w:r w:rsidRPr="00553AEA">
              <w:rPr>
                <w:rFonts w:ascii="Calibri" w:hAnsi="Calibri"/>
                <w:color w:val="auto"/>
                <w:sz w:val="20"/>
                <w:szCs w:val="20"/>
              </w:rPr>
              <w:t>Isplate radnicima po osnovu Opšteg kolektivnog ugovora</w:t>
            </w:r>
          </w:p>
        </w:tc>
        <w:tc>
          <w:tcPr>
            <w:tcW w:w="1340" w:type="dxa"/>
            <w:tcBorders>
              <w:top w:val="nil"/>
              <w:left w:val="nil"/>
              <w:bottom w:val="single" w:sz="4" w:space="0" w:color="auto"/>
              <w:right w:val="single" w:sz="4" w:space="0" w:color="auto"/>
            </w:tcBorders>
            <w:shd w:val="clear" w:color="auto" w:fill="auto"/>
            <w:noWrap/>
            <w:vAlign w:val="center"/>
            <w:hideMark/>
          </w:tcPr>
          <w:p w14:paraId="254C0B11"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25.000,00</w:t>
            </w:r>
          </w:p>
        </w:tc>
        <w:tc>
          <w:tcPr>
            <w:tcW w:w="1320" w:type="dxa"/>
            <w:tcBorders>
              <w:top w:val="nil"/>
              <w:left w:val="nil"/>
              <w:bottom w:val="single" w:sz="4" w:space="0" w:color="auto"/>
              <w:right w:val="single" w:sz="4" w:space="0" w:color="auto"/>
            </w:tcBorders>
            <w:shd w:val="clear" w:color="auto" w:fill="auto"/>
            <w:noWrap/>
            <w:vAlign w:val="center"/>
            <w:hideMark/>
          </w:tcPr>
          <w:p w14:paraId="71514312"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25.712,22</w:t>
            </w:r>
          </w:p>
        </w:tc>
        <w:tc>
          <w:tcPr>
            <w:tcW w:w="1080" w:type="dxa"/>
            <w:tcBorders>
              <w:top w:val="nil"/>
              <w:left w:val="nil"/>
              <w:bottom w:val="single" w:sz="4" w:space="0" w:color="auto"/>
              <w:right w:val="single" w:sz="4" w:space="0" w:color="auto"/>
            </w:tcBorders>
            <w:shd w:val="clear" w:color="auto" w:fill="auto"/>
            <w:noWrap/>
            <w:vAlign w:val="center"/>
            <w:hideMark/>
          </w:tcPr>
          <w:p w14:paraId="5586F6B5" w14:textId="77777777" w:rsidR="00A6503C" w:rsidRPr="00553AEA" w:rsidRDefault="00A6503C" w:rsidP="00553AEA">
            <w:pPr>
              <w:jc w:val="center"/>
              <w:rPr>
                <w:rFonts w:ascii="Calibri" w:hAnsi="Calibri"/>
                <w:sz w:val="20"/>
                <w:szCs w:val="20"/>
              </w:rPr>
            </w:pPr>
            <w:r w:rsidRPr="00553AEA">
              <w:rPr>
                <w:rFonts w:ascii="Calibri" w:hAnsi="Calibri"/>
                <w:sz w:val="20"/>
                <w:szCs w:val="20"/>
              </w:rPr>
              <w:t>102,85</w:t>
            </w:r>
          </w:p>
        </w:tc>
      </w:tr>
      <w:tr w:rsidR="00A6503C" w:rsidRPr="00553AEA" w14:paraId="588CC9AD"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FF448B2" w14:textId="77777777" w:rsidR="00A6503C" w:rsidRPr="00553AEA" w:rsidRDefault="00A6503C" w:rsidP="00553AEA">
            <w:pPr>
              <w:jc w:val="center"/>
              <w:rPr>
                <w:rFonts w:ascii="Calibri" w:hAnsi="Calibri"/>
                <w:sz w:val="20"/>
                <w:szCs w:val="20"/>
              </w:rPr>
            </w:pPr>
            <w:r w:rsidRPr="00553AEA">
              <w:rPr>
                <w:rFonts w:ascii="Calibri" w:hAnsi="Calibri"/>
                <w:sz w:val="20"/>
                <w:szCs w:val="20"/>
              </w:rPr>
              <w:t>6559</w:t>
            </w:r>
          </w:p>
        </w:tc>
        <w:tc>
          <w:tcPr>
            <w:tcW w:w="4320" w:type="dxa"/>
            <w:tcBorders>
              <w:top w:val="nil"/>
              <w:left w:val="nil"/>
              <w:bottom w:val="single" w:sz="4" w:space="0" w:color="auto"/>
              <w:right w:val="single" w:sz="4" w:space="0" w:color="auto"/>
            </w:tcBorders>
            <w:shd w:val="clear" w:color="auto" w:fill="auto"/>
            <w:vAlign w:val="center"/>
            <w:hideMark/>
          </w:tcPr>
          <w:p w14:paraId="1995B2B4"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parkiranja</w:t>
            </w:r>
          </w:p>
        </w:tc>
        <w:tc>
          <w:tcPr>
            <w:tcW w:w="1340" w:type="dxa"/>
            <w:tcBorders>
              <w:top w:val="nil"/>
              <w:left w:val="nil"/>
              <w:bottom w:val="single" w:sz="4" w:space="0" w:color="auto"/>
              <w:right w:val="single" w:sz="4" w:space="0" w:color="auto"/>
            </w:tcBorders>
            <w:shd w:val="clear" w:color="auto" w:fill="auto"/>
            <w:noWrap/>
            <w:vAlign w:val="center"/>
            <w:hideMark/>
          </w:tcPr>
          <w:p w14:paraId="1EF5554C" w14:textId="77777777" w:rsidR="00A6503C" w:rsidRPr="00553AEA" w:rsidRDefault="00A6503C" w:rsidP="00553AEA">
            <w:pPr>
              <w:jc w:val="right"/>
              <w:rPr>
                <w:rFonts w:ascii="Calibri" w:hAnsi="Calibri"/>
                <w:sz w:val="20"/>
                <w:szCs w:val="20"/>
              </w:rPr>
            </w:pPr>
            <w:r w:rsidRPr="00553AEA">
              <w:rPr>
                <w:rFonts w:ascii="Calibri" w:hAnsi="Calibri"/>
                <w:sz w:val="20"/>
                <w:szCs w:val="20"/>
              </w:rPr>
              <w:t>1.600,00</w:t>
            </w:r>
          </w:p>
        </w:tc>
        <w:tc>
          <w:tcPr>
            <w:tcW w:w="1320" w:type="dxa"/>
            <w:tcBorders>
              <w:top w:val="nil"/>
              <w:left w:val="nil"/>
              <w:bottom w:val="single" w:sz="4" w:space="0" w:color="auto"/>
              <w:right w:val="single" w:sz="4" w:space="0" w:color="auto"/>
            </w:tcBorders>
            <w:shd w:val="clear" w:color="auto" w:fill="auto"/>
            <w:noWrap/>
            <w:vAlign w:val="center"/>
            <w:hideMark/>
          </w:tcPr>
          <w:p w14:paraId="44D5F709"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1.131,61</w:t>
            </w:r>
          </w:p>
        </w:tc>
        <w:tc>
          <w:tcPr>
            <w:tcW w:w="1080" w:type="dxa"/>
            <w:tcBorders>
              <w:top w:val="nil"/>
              <w:left w:val="nil"/>
              <w:bottom w:val="single" w:sz="4" w:space="0" w:color="auto"/>
              <w:right w:val="single" w:sz="4" w:space="0" w:color="auto"/>
            </w:tcBorders>
            <w:shd w:val="clear" w:color="auto" w:fill="auto"/>
            <w:noWrap/>
            <w:vAlign w:val="center"/>
            <w:hideMark/>
          </w:tcPr>
          <w:p w14:paraId="5F72F779" w14:textId="77777777" w:rsidR="00A6503C" w:rsidRPr="00553AEA" w:rsidRDefault="00A6503C" w:rsidP="00553AEA">
            <w:pPr>
              <w:jc w:val="center"/>
              <w:rPr>
                <w:rFonts w:ascii="Calibri" w:hAnsi="Calibri"/>
                <w:sz w:val="20"/>
                <w:szCs w:val="20"/>
              </w:rPr>
            </w:pPr>
            <w:r w:rsidRPr="00553AEA">
              <w:rPr>
                <w:rFonts w:ascii="Calibri" w:hAnsi="Calibri"/>
                <w:sz w:val="20"/>
                <w:szCs w:val="20"/>
              </w:rPr>
              <w:t>70,73</w:t>
            </w:r>
          </w:p>
        </w:tc>
      </w:tr>
      <w:tr w:rsidR="00A6503C" w:rsidRPr="00553AEA" w14:paraId="37A98E3C"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6D9BA299"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660</w:t>
            </w:r>
          </w:p>
        </w:tc>
        <w:tc>
          <w:tcPr>
            <w:tcW w:w="4320" w:type="dxa"/>
            <w:tcBorders>
              <w:top w:val="nil"/>
              <w:left w:val="nil"/>
              <w:bottom w:val="single" w:sz="4" w:space="0" w:color="auto"/>
              <w:right w:val="single" w:sz="4" w:space="0" w:color="auto"/>
            </w:tcBorders>
            <w:shd w:val="clear" w:color="000000" w:fill="C5D9F1"/>
            <w:vAlign w:val="center"/>
            <w:hideMark/>
          </w:tcPr>
          <w:p w14:paraId="06B9A9BE" w14:textId="542946DF" w:rsidR="00A6503C" w:rsidRPr="00553AEA" w:rsidRDefault="002C563F" w:rsidP="00553AEA">
            <w:pPr>
              <w:jc w:val="left"/>
              <w:rPr>
                <w:rFonts w:ascii="Calibri" w:hAnsi="Calibri"/>
                <w:b/>
                <w:bCs/>
                <w:sz w:val="20"/>
                <w:szCs w:val="20"/>
              </w:rPr>
            </w:pPr>
            <w:r>
              <w:rPr>
                <w:rFonts w:ascii="Calibri" w:hAnsi="Calibri"/>
                <w:b/>
                <w:bCs/>
                <w:sz w:val="20"/>
                <w:szCs w:val="20"/>
              </w:rPr>
              <w:t xml:space="preserve">Troškovi materijala </w:t>
            </w:r>
          </w:p>
        </w:tc>
        <w:tc>
          <w:tcPr>
            <w:tcW w:w="1340" w:type="dxa"/>
            <w:tcBorders>
              <w:top w:val="nil"/>
              <w:left w:val="nil"/>
              <w:bottom w:val="single" w:sz="4" w:space="0" w:color="auto"/>
              <w:right w:val="single" w:sz="4" w:space="0" w:color="auto"/>
            </w:tcBorders>
            <w:shd w:val="clear" w:color="000000" w:fill="C5D9F1"/>
            <w:noWrap/>
            <w:vAlign w:val="center"/>
            <w:hideMark/>
          </w:tcPr>
          <w:p w14:paraId="1BB18FB4"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8.497,18</w:t>
            </w:r>
          </w:p>
        </w:tc>
        <w:tc>
          <w:tcPr>
            <w:tcW w:w="1320" w:type="dxa"/>
            <w:tcBorders>
              <w:top w:val="nil"/>
              <w:left w:val="nil"/>
              <w:bottom w:val="single" w:sz="4" w:space="0" w:color="auto"/>
              <w:right w:val="single" w:sz="4" w:space="0" w:color="auto"/>
            </w:tcBorders>
            <w:shd w:val="clear" w:color="000000" w:fill="C5D9F1"/>
            <w:noWrap/>
            <w:vAlign w:val="center"/>
            <w:hideMark/>
          </w:tcPr>
          <w:p w14:paraId="05E2B048"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5.980,09</w:t>
            </w:r>
          </w:p>
        </w:tc>
        <w:tc>
          <w:tcPr>
            <w:tcW w:w="1080" w:type="dxa"/>
            <w:tcBorders>
              <w:top w:val="nil"/>
              <w:left w:val="nil"/>
              <w:bottom w:val="single" w:sz="4" w:space="0" w:color="auto"/>
              <w:right w:val="single" w:sz="4" w:space="0" w:color="auto"/>
            </w:tcBorders>
            <w:shd w:val="clear" w:color="000000" w:fill="C5D9F1"/>
            <w:noWrap/>
            <w:vAlign w:val="center"/>
            <w:hideMark/>
          </w:tcPr>
          <w:p w14:paraId="64915CFF"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70,38</w:t>
            </w:r>
          </w:p>
        </w:tc>
      </w:tr>
      <w:tr w:rsidR="00A6503C" w:rsidRPr="00553AEA" w14:paraId="30264D78"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EC26757" w14:textId="77777777" w:rsidR="00A6503C" w:rsidRPr="00553AEA" w:rsidRDefault="00A6503C" w:rsidP="00553AEA">
            <w:pPr>
              <w:jc w:val="center"/>
              <w:rPr>
                <w:rFonts w:ascii="Calibri" w:hAnsi="Calibri"/>
                <w:sz w:val="20"/>
                <w:szCs w:val="20"/>
              </w:rPr>
            </w:pPr>
            <w:r w:rsidRPr="00553AEA">
              <w:rPr>
                <w:rFonts w:ascii="Calibri" w:hAnsi="Calibri"/>
                <w:sz w:val="20"/>
                <w:szCs w:val="20"/>
              </w:rPr>
              <w:t>6601</w:t>
            </w:r>
          </w:p>
        </w:tc>
        <w:tc>
          <w:tcPr>
            <w:tcW w:w="4320" w:type="dxa"/>
            <w:tcBorders>
              <w:top w:val="nil"/>
              <w:left w:val="nil"/>
              <w:bottom w:val="single" w:sz="4" w:space="0" w:color="auto"/>
              <w:right w:val="single" w:sz="4" w:space="0" w:color="auto"/>
            </w:tcBorders>
            <w:shd w:val="clear" w:color="auto" w:fill="auto"/>
            <w:vAlign w:val="center"/>
            <w:hideMark/>
          </w:tcPr>
          <w:p w14:paraId="030362C1"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kancelarijskog materijala</w:t>
            </w:r>
          </w:p>
        </w:tc>
        <w:tc>
          <w:tcPr>
            <w:tcW w:w="1340" w:type="dxa"/>
            <w:tcBorders>
              <w:top w:val="nil"/>
              <w:left w:val="nil"/>
              <w:bottom w:val="single" w:sz="4" w:space="0" w:color="auto"/>
              <w:right w:val="single" w:sz="4" w:space="0" w:color="auto"/>
            </w:tcBorders>
            <w:shd w:val="clear" w:color="auto" w:fill="auto"/>
            <w:noWrap/>
            <w:vAlign w:val="center"/>
            <w:hideMark/>
          </w:tcPr>
          <w:p w14:paraId="33F03A31" w14:textId="77777777" w:rsidR="00A6503C" w:rsidRPr="00553AEA" w:rsidRDefault="00A6503C" w:rsidP="00553AEA">
            <w:pPr>
              <w:jc w:val="right"/>
              <w:rPr>
                <w:rFonts w:ascii="Calibri" w:hAnsi="Calibri"/>
                <w:sz w:val="20"/>
                <w:szCs w:val="20"/>
              </w:rPr>
            </w:pPr>
            <w:r w:rsidRPr="00553AEA">
              <w:rPr>
                <w:rFonts w:ascii="Calibri" w:hAnsi="Calibri"/>
                <w:sz w:val="20"/>
                <w:szCs w:val="20"/>
              </w:rPr>
              <w:t>7.997,18</w:t>
            </w:r>
          </w:p>
        </w:tc>
        <w:tc>
          <w:tcPr>
            <w:tcW w:w="1320" w:type="dxa"/>
            <w:tcBorders>
              <w:top w:val="nil"/>
              <w:left w:val="nil"/>
              <w:bottom w:val="single" w:sz="4" w:space="0" w:color="auto"/>
              <w:right w:val="single" w:sz="4" w:space="0" w:color="auto"/>
            </w:tcBorders>
            <w:shd w:val="clear" w:color="auto" w:fill="auto"/>
            <w:noWrap/>
            <w:vAlign w:val="center"/>
            <w:hideMark/>
          </w:tcPr>
          <w:p w14:paraId="21F5267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4.851,79</w:t>
            </w:r>
          </w:p>
        </w:tc>
        <w:tc>
          <w:tcPr>
            <w:tcW w:w="1080" w:type="dxa"/>
            <w:tcBorders>
              <w:top w:val="nil"/>
              <w:left w:val="nil"/>
              <w:bottom w:val="single" w:sz="4" w:space="0" w:color="auto"/>
              <w:right w:val="single" w:sz="4" w:space="0" w:color="auto"/>
            </w:tcBorders>
            <w:shd w:val="clear" w:color="auto" w:fill="auto"/>
            <w:noWrap/>
            <w:vAlign w:val="center"/>
            <w:hideMark/>
          </w:tcPr>
          <w:p w14:paraId="54D2A58F" w14:textId="77777777" w:rsidR="00A6503C" w:rsidRPr="00553AEA" w:rsidRDefault="00A6503C" w:rsidP="00553AEA">
            <w:pPr>
              <w:jc w:val="center"/>
              <w:rPr>
                <w:rFonts w:ascii="Calibri" w:hAnsi="Calibri"/>
                <w:sz w:val="20"/>
                <w:szCs w:val="20"/>
              </w:rPr>
            </w:pPr>
            <w:r w:rsidRPr="00553AEA">
              <w:rPr>
                <w:rFonts w:ascii="Calibri" w:hAnsi="Calibri"/>
                <w:sz w:val="20"/>
                <w:szCs w:val="20"/>
              </w:rPr>
              <w:t>60,67</w:t>
            </w:r>
          </w:p>
        </w:tc>
      </w:tr>
      <w:tr w:rsidR="00A6503C" w:rsidRPr="00553AEA" w14:paraId="1906BE7A"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876CB5C" w14:textId="77777777" w:rsidR="00A6503C" w:rsidRPr="00553AEA" w:rsidRDefault="00A6503C" w:rsidP="00553AEA">
            <w:pPr>
              <w:jc w:val="center"/>
              <w:rPr>
                <w:rFonts w:ascii="Calibri" w:hAnsi="Calibri"/>
                <w:sz w:val="20"/>
                <w:szCs w:val="20"/>
              </w:rPr>
            </w:pPr>
            <w:r w:rsidRPr="00553AEA">
              <w:rPr>
                <w:rFonts w:ascii="Calibri" w:hAnsi="Calibri"/>
                <w:sz w:val="20"/>
                <w:szCs w:val="20"/>
              </w:rPr>
              <w:t>6603</w:t>
            </w:r>
          </w:p>
        </w:tc>
        <w:tc>
          <w:tcPr>
            <w:tcW w:w="4320" w:type="dxa"/>
            <w:tcBorders>
              <w:top w:val="nil"/>
              <w:left w:val="nil"/>
              <w:bottom w:val="single" w:sz="4" w:space="0" w:color="auto"/>
              <w:right w:val="single" w:sz="4" w:space="0" w:color="auto"/>
            </w:tcBorders>
            <w:shd w:val="clear" w:color="auto" w:fill="auto"/>
            <w:vAlign w:val="center"/>
            <w:hideMark/>
          </w:tcPr>
          <w:p w14:paraId="10646F4D"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ostalog materijala</w:t>
            </w:r>
          </w:p>
        </w:tc>
        <w:tc>
          <w:tcPr>
            <w:tcW w:w="1340" w:type="dxa"/>
            <w:tcBorders>
              <w:top w:val="nil"/>
              <w:left w:val="nil"/>
              <w:bottom w:val="single" w:sz="4" w:space="0" w:color="auto"/>
              <w:right w:val="single" w:sz="4" w:space="0" w:color="auto"/>
            </w:tcBorders>
            <w:shd w:val="clear" w:color="auto" w:fill="auto"/>
            <w:noWrap/>
            <w:vAlign w:val="center"/>
            <w:hideMark/>
          </w:tcPr>
          <w:p w14:paraId="780E9F82" w14:textId="77777777" w:rsidR="00A6503C" w:rsidRPr="00553AEA" w:rsidRDefault="00A6503C" w:rsidP="00553AEA">
            <w:pPr>
              <w:jc w:val="right"/>
              <w:rPr>
                <w:rFonts w:ascii="Calibri" w:hAnsi="Calibri"/>
                <w:sz w:val="20"/>
                <w:szCs w:val="20"/>
              </w:rPr>
            </w:pPr>
            <w:r w:rsidRPr="00553AEA">
              <w:rPr>
                <w:rFonts w:ascii="Calibri" w:hAnsi="Calibri"/>
                <w:sz w:val="20"/>
                <w:szCs w:val="20"/>
              </w:rPr>
              <w:t>500,00</w:t>
            </w:r>
          </w:p>
        </w:tc>
        <w:tc>
          <w:tcPr>
            <w:tcW w:w="1320" w:type="dxa"/>
            <w:tcBorders>
              <w:top w:val="nil"/>
              <w:left w:val="nil"/>
              <w:bottom w:val="single" w:sz="4" w:space="0" w:color="auto"/>
              <w:right w:val="single" w:sz="4" w:space="0" w:color="auto"/>
            </w:tcBorders>
            <w:shd w:val="clear" w:color="auto" w:fill="auto"/>
            <w:noWrap/>
            <w:vAlign w:val="center"/>
            <w:hideMark/>
          </w:tcPr>
          <w:p w14:paraId="640A2374"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1.128,30</w:t>
            </w:r>
          </w:p>
        </w:tc>
        <w:tc>
          <w:tcPr>
            <w:tcW w:w="1080" w:type="dxa"/>
            <w:tcBorders>
              <w:top w:val="nil"/>
              <w:left w:val="nil"/>
              <w:bottom w:val="single" w:sz="4" w:space="0" w:color="auto"/>
              <w:right w:val="single" w:sz="4" w:space="0" w:color="auto"/>
            </w:tcBorders>
            <w:shd w:val="clear" w:color="auto" w:fill="auto"/>
            <w:noWrap/>
            <w:vAlign w:val="center"/>
            <w:hideMark/>
          </w:tcPr>
          <w:p w14:paraId="73FF0243" w14:textId="77777777" w:rsidR="00A6503C" w:rsidRPr="00553AEA" w:rsidRDefault="00A6503C" w:rsidP="00553AEA">
            <w:pPr>
              <w:jc w:val="center"/>
              <w:rPr>
                <w:rFonts w:ascii="Calibri" w:hAnsi="Calibri"/>
                <w:sz w:val="20"/>
                <w:szCs w:val="20"/>
              </w:rPr>
            </w:pPr>
            <w:r w:rsidRPr="00553AEA">
              <w:rPr>
                <w:rFonts w:ascii="Calibri" w:hAnsi="Calibri"/>
                <w:sz w:val="20"/>
                <w:szCs w:val="20"/>
              </w:rPr>
              <w:t>225,66</w:t>
            </w:r>
          </w:p>
        </w:tc>
      </w:tr>
      <w:tr w:rsidR="001A4ADE" w:rsidRPr="00553AEA" w14:paraId="5FE5650E" w14:textId="77777777" w:rsidTr="00F10627">
        <w:trPr>
          <w:trHeight w:val="315"/>
        </w:trPr>
        <w:tc>
          <w:tcPr>
            <w:tcW w:w="880"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14:paraId="7E21E5FA" w14:textId="77777777" w:rsidR="001A4ADE" w:rsidRPr="00553AEA" w:rsidRDefault="001A4ADE" w:rsidP="00C64B1E">
            <w:pPr>
              <w:jc w:val="center"/>
              <w:rPr>
                <w:rFonts w:ascii="Calibri" w:hAnsi="Calibri"/>
                <w:b/>
                <w:bCs/>
                <w:sz w:val="20"/>
                <w:szCs w:val="20"/>
              </w:rPr>
            </w:pPr>
            <w:bookmarkStart w:id="15" w:name="_Hlk170200524"/>
            <w:r w:rsidRPr="00553AEA">
              <w:rPr>
                <w:rFonts w:ascii="Calibri" w:hAnsi="Calibri"/>
                <w:b/>
                <w:bCs/>
                <w:sz w:val="20"/>
                <w:szCs w:val="20"/>
              </w:rPr>
              <w:lastRenderedPageBreak/>
              <w:t>Konto</w:t>
            </w:r>
          </w:p>
        </w:tc>
        <w:tc>
          <w:tcPr>
            <w:tcW w:w="4320" w:type="dxa"/>
            <w:tcBorders>
              <w:top w:val="nil"/>
              <w:left w:val="nil"/>
              <w:bottom w:val="single" w:sz="4" w:space="0" w:color="auto"/>
              <w:right w:val="single" w:sz="4" w:space="0" w:color="auto"/>
            </w:tcBorders>
            <w:shd w:val="clear" w:color="auto" w:fill="C6D9F1" w:themeFill="text2" w:themeFillTint="33"/>
            <w:vAlign w:val="center"/>
            <w:hideMark/>
          </w:tcPr>
          <w:p w14:paraId="75809B0F" w14:textId="30809BB9" w:rsidR="001A4ADE" w:rsidRPr="00553AEA" w:rsidRDefault="001A4ADE" w:rsidP="00C64B1E">
            <w:pPr>
              <w:jc w:val="center"/>
              <w:rPr>
                <w:rFonts w:ascii="Calibri" w:hAnsi="Calibri"/>
                <w:b/>
                <w:bCs/>
                <w:sz w:val="20"/>
                <w:szCs w:val="20"/>
              </w:rPr>
            </w:pPr>
            <w:r>
              <w:rPr>
                <w:rFonts w:ascii="Calibri" w:hAnsi="Calibri"/>
                <w:b/>
                <w:bCs/>
                <w:sz w:val="20"/>
                <w:szCs w:val="20"/>
              </w:rPr>
              <w:t>Naziv</w:t>
            </w:r>
          </w:p>
        </w:tc>
        <w:tc>
          <w:tcPr>
            <w:tcW w:w="1340" w:type="dxa"/>
            <w:tcBorders>
              <w:top w:val="nil"/>
              <w:left w:val="nil"/>
              <w:bottom w:val="single" w:sz="4" w:space="0" w:color="auto"/>
              <w:right w:val="single" w:sz="4" w:space="0" w:color="auto"/>
            </w:tcBorders>
            <w:shd w:val="clear" w:color="auto" w:fill="C6D9F1" w:themeFill="text2" w:themeFillTint="33"/>
            <w:noWrap/>
            <w:vAlign w:val="center"/>
            <w:hideMark/>
          </w:tcPr>
          <w:p w14:paraId="61C9765F" w14:textId="5DE34C3B" w:rsidR="001A4ADE" w:rsidRPr="00553AEA" w:rsidRDefault="001A4ADE" w:rsidP="00C64B1E">
            <w:pPr>
              <w:jc w:val="center"/>
              <w:rPr>
                <w:rFonts w:ascii="Calibri" w:hAnsi="Calibri"/>
                <w:b/>
                <w:bCs/>
                <w:sz w:val="20"/>
                <w:szCs w:val="20"/>
              </w:rPr>
            </w:pPr>
            <w:r w:rsidRPr="00553AEA">
              <w:rPr>
                <w:rFonts w:ascii="Calibri" w:hAnsi="Calibri"/>
                <w:b/>
                <w:bCs/>
                <w:sz w:val="20"/>
                <w:szCs w:val="20"/>
              </w:rPr>
              <w:t xml:space="preserve">Planirano </w:t>
            </w:r>
            <w:r>
              <w:rPr>
                <w:rFonts w:ascii="Calibri" w:hAnsi="Calibri"/>
                <w:b/>
                <w:bCs/>
                <w:sz w:val="20"/>
                <w:szCs w:val="20"/>
              </w:rPr>
              <w:t xml:space="preserve">u </w:t>
            </w:r>
            <w:r w:rsidRPr="00553AEA">
              <w:rPr>
                <w:rFonts w:ascii="Calibri" w:hAnsi="Calibri"/>
                <w:b/>
                <w:bCs/>
                <w:sz w:val="20"/>
                <w:szCs w:val="20"/>
              </w:rPr>
              <w:t>2023. Godin</w:t>
            </w:r>
            <w:r>
              <w:rPr>
                <w:rFonts w:ascii="Calibri" w:hAnsi="Calibri"/>
                <w:b/>
                <w:bCs/>
                <w:sz w:val="20"/>
                <w:szCs w:val="20"/>
              </w:rPr>
              <w:t>i</w:t>
            </w:r>
          </w:p>
        </w:tc>
        <w:tc>
          <w:tcPr>
            <w:tcW w:w="1320" w:type="dxa"/>
            <w:tcBorders>
              <w:top w:val="nil"/>
              <w:left w:val="nil"/>
              <w:bottom w:val="single" w:sz="4" w:space="0" w:color="auto"/>
              <w:right w:val="single" w:sz="4" w:space="0" w:color="auto"/>
            </w:tcBorders>
            <w:shd w:val="clear" w:color="auto" w:fill="C6D9F1" w:themeFill="text2" w:themeFillTint="33"/>
            <w:noWrap/>
            <w:vAlign w:val="center"/>
            <w:hideMark/>
          </w:tcPr>
          <w:p w14:paraId="08CF1852" w14:textId="77777777" w:rsidR="001A4ADE" w:rsidRPr="00553AEA" w:rsidRDefault="001A4ADE" w:rsidP="00C64B1E">
            <w:pPr>
              <w:jc w:val="center"/>
              <w:rPr>
                <w:rFonts w:ascii="Calibri" w:hAnsi="Calibri"/>
                <w:b/>
                <w:bCs/>
                <w:sz w:val="20"/>
                <w:szCs w:val="20"/>
              </w:rPr>
            </w:pPr>
            <w:r w:rsidRPr="00553AEA">
              <w:rPr>
                <w:rFonts w:ascii="Calibri" w:hAnsi="Calibri"/>
                <w:b/>
                <w:bCs/>
                <w:sz w:val="20"/>
                <w:szCs w:val="20"/>
              </w:rPr>
              <w:t>Ostvareno u 2023. godini</w:t>
            </w:r>
          </w:p>
        </w:tc>
        <w:tc>
          <w:tcPr>
            <w:tcW w:w="1080" w:type="dxa"/>
            <w:tcBorders>
              <w:top w:val="nil"/>
              <w:left w:val="nil"/>
              <w:bottom w:val="single" w:sz="4" w:space="0" w:color="auto"/>
              <w:right w:val="single" w:sz="4" w:space="0" w:color="auto"/>
            </w:tcBorders>
            <w:shd w:val="clear" w:color="auto" w:fill="C6D9F1" w:themeFill="text2" w:themeFillTint="33"/>
            <w:noWrap/>
            <w:vAlign w:val="center"/>
            <w:hideMark/>
          </w:tcPr>
          <w:p w14:paraId="0BE4B44B" w14:textId="77777777" w:rsidR="001A4ADE" w:rsidRPr="00553AEA" w:rsidRDefault="001A4ADE" w:rsidP="00C64B1E">
            <w:pPr>
              <w:jc w:val="center"/>
              <w:rPr>
                <w:rFonts w:ascii="Calibri" w:hAnsi="Calibri"/>
                <w:b/>
                <w:sz w:val="20"/>
                <w:szCs w:val="20"/>
              </w:rPr>
            </w:pPr>
            <w:r w:rsidRPr="00553AEA">
              <w:rPr>
                <w:rFonts w:ascii="Calibri" w:hAnsi="Calibri"/>
                <w:b/>
                <w:sz w:val="20"/>
                <w:szCs w:val="20"/>
              </w:rPr>
              <w:t>Indeks</w:t>
            </w:r>
          </w:p>
        </w:tc>
      </w:tr>
      <w:bookmarkEnd w:id="15"/>
      <w:tr w:rsidR="00A6503C" w:rsidRPr="00553AEA" w14:paraId="0AE92CE3"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32C604CB"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661</w:t>
            </w:r>
          </w:p>
        </w:tc>
        <w:tc>
          <w:tcPr>
            <w:tcW w:w="4320" w:type="dxa"/>
            <w:tcBorders>
              <w:top w:val="nil"/>
              <w:left w:val="nil"/>
              <w:bottom w:val="single" w:sz="4" w:space="0" w:color="auto"/>
              <w:right w:val="single" w:sz="4" w:space="0" w:color="auto"/>
            </w:tcBorders>
            <w:shd w:val="clear" w:color="000000" w:fill="C5D9F1"/>
            <w:vAlign w:val="center"/>
            <w:hideMark/>
          </w:tcPr>
          <w:p w14:paraId="71B2BB9B" w14:textId="77777777" w:rsidR="00A6503C" w:rsidRPr="00553AEA" w:rsidRDefault="00A6503C" w:rsidP="00553AEA">
            <w:pPr>
              <w:jc w:val="left"/>
              <w:rPr>
                <w:rFonts w:ascii="Calibri" w:hAnsi="Calibri"/>
                <w:b/>
                <w:bCs/>
                <w:sz w:val="20"/>
                <w:szCs w:val="20"/>
              </w:rPr>
            </w:pPr>
            <w:r w:rsidRPr="00553AEA">
              <w:rPr>
                <w:rFonts w:ascii="Calibri" w:hAnsi="Calibri"/>
                <w:b/>
                <w:bCs/>
                <w:sz w:val="20"/>
                <w:szCs w:val="20"/>
              </w:rPr>
              <w:t>Troškovi proizvodnih usluga</w:t>
            </w:r>
          </w:p>
        </w:tc>
        <w:tc>
          <w:tcPr>
            <w:tcW w:w="1340" w:type="dxa"/>
            <w:tcBorders>
              <w:top w:val="nil"/>
              <w:left w:val="nil"/>
              <w:bottom w:val="single" w:sz="4" w:space="0" w:color="auto"/>
              <w:right w:val="single" w:sz="4" w:space="0" w:color="auto"/>
            </w:tcBorders>
            <w:shd w:val="clear" w:color="000000" w:fill="C5D9F1"/>
            <w:noWrap/>
            <w:vAlign w:val="center"/>
            <w:hideMark/>
          </w:tcPr>
          <w:p w14:paraId="70D41DAB"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60.600,00</w:t>
            </w:r>
          </w:p>
        </w:tc>
        <w:tc>
          <w:tcPr>
            <w:tcW w:w="1320" w:type="dxa"/>
            <w:tcBorders>
              <w:top w:val="nil"/>
              <w:left w:val="nil"/>
              <w:bottom w:val="single" w:sz="4" w:space="0" w:color="auto"/>
              <w:right w:val="single" w:sz="4" w:space="0" w:color="auto"/>
            </w:tcBorders>
            <w:shd w:val="clear" w:color="000000" w:fill="C5D9F1"/>
            <w:noWrap/>
            <w:vAlign w:val="center"/>
            <w:hideMark/>
          </w:tcPr>
          <w:p w14:paraId="14832CC6"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57.451,93</w:t>
            </w:r>
          </w:p>
        </w:tc>
        <w:tc>
          <w:tcPr>
            <w:tcW w:w="1080" w:type="dxa"/>
            <w:tcBorders>
              <w:top w:val="nil"/>
              <w:left w:val="nil"/>
              <w:bottom w:val="single" w:sz="4" w:space="0" w:color="auto"/>
              <w:right w:val="single" w:sz="4" w:space="0" w:color="auto"/>
            </w:tcBorders>
            <w:shd w:val="clear" w:color="000000" w:fill="C5D9F1"/>
            <w:noWrap/>
            <w:vAlign w:val="center"/>
            <w:hideMark/>
          </w:tcPr>
          <w:p w14:paraId="075960F4"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94,81</w:t>
            </w:r>
          </w:p>
        </w:tc>
      </w:tr>
      <w:tr w:rsidR="00A6503C" w:rsidRPr="00553AEA" w14:paraId="5FABBE25"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E6BB571" w14:textId="77777777" w:rsidR="00A6503C" w:rsidRPr="00553AEA" w:rsidRDefault="00A6503C" w:rsidP="00553AEA">
            <w:pPr>
              <w:jc w:val="center"/>
              <w:rPr>
                <w:rFonts w:ascii="Calibri" w:hAnsi="Calibri"/>
                <w:sz w:val="20"/>
                <w:szCs w:val="20"/>
              </w:rPr>
            </w:pPr>
            <w:r w:rsidRPr="00553AEA">
              <w:rPr>
                <w:rFonts w:ascii="Calibri" w:hAnsi="Calibri"/>
                <w:sz w:val="20"/>
                <w:szCs w:val="20"/>
              </w:rPr>
              <w:t>6610</w:t>
            </w:r>
          </w:p>
        </w:tc>
        <w:tc>
          <w:tcPr>
            <w:tcW w:w="4320" w:type="dxa"/>
            <w:tcBorders>
              <w:top w:val="nil"/>
              <w:left w:val="nil"/>
              <w:bottom w:val="single" w:sz="4" w:space="0" w:color="auto"/>
              <w:right w:val="single" w:sz="4" w:space="0" w:color="auto"/>
            </w:tcBorders>
            <w:shd w:val="clear" w:color="auto" w:fill="auto"/>
            <w:vAlign w:val="center"/>
            <w:hideMark/>
          </w:tcPr>
          <w:p w14:paraId="751C73A2" w14:textId="77777777" w:rsidR="00A6503C" w:rsidRDefault="00A6503C" w:rsidP="00553AEA">
            <w:pPr>
              <w:jc w:val="left"/>
              <w:rPr>
                <w:rFonts w:ascii="Calibri" w:hAnsi="Calibri"/>
                <w:sz w:val="20"/>
                <w:szCs w:val="20"/>
                <w:lang w:val="sr-Latn-RS"/>
              </w:rPr>
            </w:pPr>
            <w:r w:rsidRPr="00553AEA">
              <w:rPr>
                <w:rFonts w:ascii="Calibri" w:hAnsi="Calibri"/>
                <w:sz w:val="20"/>
                <w:szCs w:val="20"/>
              </w:rPr>
              <w:t>Troškovi proizvodnih usluga – usluge održavanja</w:t>
            </w:r>
          </w:p>
          <w:p w14:paraId="5F8D07E8" w14:textId="77777777" w:rsidR="00A6503C" w:rsidRPr="00553AEA" w:rsidRDefault="00A6503C" w:rsidP="00553AEA">
            <w:pPr>
              <w:jc w:val="left"/>
              <w:rPr>
                <w:rFonts w:ascii="Calibri" w:hAnsi="Calibri"/>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14:paraId="40754B70" w14:textId="77777777" w:rsidR="00A6503C" w:rsidRPr="00553AEA" w:rsidRDefault="00A6503C" w:rsidP="00553AEA">
            <w:pPr>
              <w:jc w:val="right"/>
              <w:rPr>
                <w:rFonts w:ascii="Calibri" w:hAnsi="Calibri"/>
                <w:sz w:val="20"/>
                <w:szCs w:val="20"/>
              </w:rPr>
            </w:pPr>
            <w:r w:rsidRPr="00553AEA">
              <w:rPr>
                <w:rFonts w:ascii="Calibri" w:hAnsi="Calibri"/>
                <w:sz w:val="20"/>
                <w:szCs w:val="20"/>
              </w:rPr>
              <w:t>8.600,00</w:t>
            </w:r>
          </w:p>
        </w:tc>
        <w:tc>
          <w:tcPr>
            <w:tcW w:w="1320" w:type="dxa"/>
            <w:tcBorders>
              <w:top w:val="nil"/>
              <w:left w:val="nil"/>
              <w:bottom w:val="single" w:sz="4" w:space="0" w:color="auto"/>
              <w:right w:val="single" w:sz="4" w:space="0" w:color="auto"/>
            </w:tcBorders>
            <w:shd w:val="clear" w:color="auto" w:fill="auto"/>
            <w:noWrap/>
            <w:vAlign w:val="center"/>
            <w:hideMark/>
          </w:tcPr>
          <w:p w14:paraId="6EDBE0B3"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13.815,61</w:t>
            </w:r>
          </w:p>
        </w:tc>
        <w:tc>
          <w:tcPr>
            <w:tcW w:w="1080" w:type="dxa"/>
            <w:tcBorders>
              <w:top w:val="nil"/>
              <w:left w:val="nil"/>
              <w:bottom w:val="single" w:sz="4" w:space="0" w:color="auto"/>
              <w:right w:val="single" w:sz="4" w:space="0" w:color="auto"/>
            </w:tcBorders>
            <w:shd w:val="clear" w:color="auto" w:fill="auto"/>
            <w:noWrap/>
            <w:vAlign w:val="center"/>
            <w:hideMark/>
          </w:tcPr>
          <w:p w14:paraId="04482B24" w14:textId="77777777" w:rsidR="00A6503C" w:rsidRPr="00553AEA" w:rsidRDefault="00A6503C" w:rsidP="00553AEA">
            <w:pPr>
              <w:jc w:val="center"/>
              <w:rPr>
                <w:rFonts w:ascii="Calibri" w:hAnsi="Calibri"/>
                <w:sz w:val="20"/>
                <w:szCs w:val="20"/>
              </w:rPr>
            </w:pPr>
            <w:r w:rsidRPr="00553AEA">
              <w:rPr>
                <w:rFonts w:ascii="Calibri" w:hAnsi="Calibri"/>
                <w:sz w:val="20"/>
                <w:szCs w:val="20"/>
              </w:rPr>
              <w:t>160,65</w:t>
            </w:r>
          </w:p>
        </w:tc>
      </w:tr>
      <w:tr w:rsidR="00A6503C" w:rsidRPr="00553AEA" w14:paraId="5CA64293"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tcPr>
          <w:p w14:paraId="5AAA88E0" w14:textId="77777777" w:rsidR="00A6503C" w:rsidRPr="00553AEA" w:rsidRDefault="00A6503C" w:rsidP="00914272">
            <w:pPr>
              <w:jc w:val="center"/>
              <w:rPr>
                <w:rFonts w:ascii="Calibri" w:hAnsi="Calibri"/>
                <w:sz w:val="20"/>
                <w:szCs w:val="20"/>
              </w:rPr>
            </w:pPr>
            <w:r w:rsidRPr="00553AEA">
              <w:rPr>
                <w:rFonts w:ascii="Calibri" w:hAnsi="Calibri"/>
                <w:sz w:val="20"/>
                <w:szCs w:val="20"/>
              </w:rPr>
              <w:t>6611</w:t>
            </w:r>
          </w:p>
        </w:tc>
        <w:tc>
          <w:tcPr>
            <w:tcW w:w="4320" w:type="dxa"/>
            <w:tcBorders>
              <w:top w:val="nil"/>
              <w:left w:val="nil"/>
              <w:bottom w:val="single" w:sz="4" w:space="0" w:color="auto"/>
              <w:right w:val="single" w:sz="4" w:space="0" w:color="auto"/>
            </w:tcBorders>
            <w:shd w:val="clear" w:color="auto" w:fill="auto"/>
            <w:vAlign w:val="center"/>
          </w:tcPr>
          <w:p w14:paraId="5B51E7BE" w14:textId="77777777" w:rsidR="00A6503C" w:rsidRPr="00553AEA" w:rsidRDefault="00A6503C" w:rsidP="00914272">
            <w:pPr>
              <w:jc w:val="left"/>
              <w:rPr>
                <w:rFonts w:ascii="Calibri" w:hAnsi="Calibri"/>
                <w:sz w:val="20"/>
                <w:szCs w:val="20"/>
              </w:rPr>
            </w:pPr>
            <w:r w:rsidRPr="00553AEA">
              <w:rPr>
                <w:rFonts w:ascii="Calibri" w:hAnsi="Calibri"/>
                <w:sz w:val="20"/>
                <w:szCs w:val="20"/>
              </w:rPr>
              <w:t>Troškovi proizvodnih usluga - održavanje softvera</w:t>
            </w:r>
          </w:p>
        </w:tc>
        <w:tc>
          <w:tcPr>
            <w:tcW w:w="1340" w:type="dxa"/>
            <w:tcBorders>
              <w:top w:val="nil"/>
              <w:left w:val="nil"/>
              <w:bottom w:val="single" w:sz="4" w:space="0" w:color="auto"/>
              <w:right w:val="single" w:sz="4" w:space="0" w:color="auto"/>
            </w:tcBorders>
            <w:shd w:val="clear" w:color="auto" w:fill="auto"/>
            <w:noWrap/>
            <w:vAlign w:val="center"/>
          </w:tcPr>
          <w:p w14:paraId="70345337" w14:textId="77777777" w:rsidR="00A6503C" w:rsidRPr="00553AEA" w:rsidRDefault="00A6503C" w:rsidP="00914272">
            <w:pPr>
              <w:jc w:val="right"/>
              <w:rPr>
                <w:rFonts w:ascii="Calibri" w:hAnsi="Calibri"/>
                <w:sz w:val="20"/>
                <w:szCs w:val="20"/>
              </w:rPr>
            </w:pPr>
            <w:r w:rsidRPr="00553AEA">
              <w:rPr>
                <w:rFonts w:ascii="Calibri" w:hAnsi="Calibri"/>
                <w:sz w:val="20"/>
                <w:szCs w:val="20"/>
              </w:rPr>
              <w:t>45.000,00</w:t>
            </w:r>
          </w:p>
        </w:tc>
        <w:tc>
          <w:tcPr>
            <w:tcW w:w="1320" w:type="dxa"/>
            <w:tcBorders>
              <w:top w:val="nil"/>
              <w:left w:val="nil"/>
              <w:bottom w:val="single" w:sz="4" w:space="0" w:color="auto"/>
              <w:right w:val="single" w:sz="4" w:space="0" w:color="auto"/>
            </w:tcBorders>
            <w:shd w:val="clear" w:color="auto" w:fill="auto"/>
            <w:noWrap/>
            <w:vAlign w:val="center"/>
          </w:tcPr>
          <w:p w14:paraId="2269541A" w14:textId="77777777" w:rsidR="00A6503C" w:rsidRPr="00553AEA" w:rsidRDefault="00A6503C" w:rsidP="00914272">
            <w:pPr>
              <w:jc w:val="right"/>
              <w:rPr>
                <w:rFonts w:ascii="Calibri" w:hAnsi="Calibri"/>
                <w:color w:val="auto"/>
                <w:sz w:val="20"/>
                <w:szCs w:val="20"/>
              </w:rPr>
            </w:pPr>
            <w:r w:rsidRPr="00553AEA">
              <w:rPr>
                <w:rFonts w:ascii="Calibri" w:hAnsi="Calibri"/>
                <w:color w:val="auto"/>
                <w:sz w:val="20"/>
                <w:szCs w:val="20"/>
              </w:rPr>
              <w:t>43.636,32</w:t>
            </w:r>
          </w:p>
        </w:tc>
        <w:tc>
          <w:tcPr>
            <w:tcW w:w="1080" w:type="dxa"/>
            <w:tcBorders>
              <w:top w:val="nil"/>
              <w:left w:val="nil"/>
              <w:bottom w:val="single" w:sz="4" w:space="0" w:color="auto"/>
              <w:right w:val="single" w:sz="4" w:space="0" w:color="auto"/>
            </w:tcBorders>
            <w:shd w:val="clear" w:color="auto" w:fill="auto"/>
            <w:noWrap/>
            <w:vAlign w:val="center"/>
          </w:tcPr>
          <w:p w14:paraId="3DCC2B4F" w14:textId="77777777" w:rsidR="00A6503C" w:rsidRPr="00553AEA" w:rsidRDefault="00A6503C" w:rsidP="00914272">
            <w:pPr>
              <w:jc w:val="center"/>
              <w:rPr>
                <w:rFonts w:ascii="Calibri" w:hAnsi="Calibri"/>
                <w:sz w:val="20"/>
                <w:szCs w:val="20"/>
              </w:rPr>
            </w:pPr>
            <w:r w:rsidRPr="00553AEA">
              <w:rPr>
                <w:rFonts w:ascii="Calibri" w:hAnsi="Calibri"/>
                <w:sz w:val="20"/>
                <w:szCs w:val="20"/>
              </w:rPr>
              <w:t>96,97</w:t>
            </w:r>
          </w:p>
        </w:tc>
      </w:tr>
      <w:tr w:rsidR="00A6503C" w:rsidRPr="00553AEA" w14:paraId="765D1200"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7154E92D"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662</w:t>
            </w:r>
          </w:p>
        </w:tc>
        <w:tc>
          <w:tcPr>
            <w:tcW w:w="4320" w:type="dxa"/>
            <w:tcBorders>
              <w:top w:val="nil"/>
              <w:left w:val="nil"/>
              <w:bottom w:val="single" w:sz="4" w:space="0" w:color="auto"/>
              <w:right w:val="single" w:sz="4" w:space="0" w:color="auto"/>
            </w:tcBorders>
            <w:shd w:val="clear" w:color="000000" w:fill="C5D9F1"/>
            <w:vAlign w:val="center"/>
            <w:hideMark/>
          </w:tcPr>
          <w:p w14:paraId="61825324" w14:textId="77777777" w:rsidR="00A6503C" w:rsidRPr="00553AEA" w:rsidRDefault="00A6503C" w:rsidP="00553AEA">
            <w:pPr>
              <w:jc w:val="left"/>
              <w:rPr>
                <w:rFonts w:ascii="Calibri" w:hAnsi="Calibri"/>
                <w:b/>
                <w:bCs/>
                <w:sz w:val="20"/>
                <w:szCs w:val="20"/>
              </w:rPr>
            </w:pPr>
            <w:r w:rsidRPr="00553AEA">
              <w:rPr>
                <w:rFonts w:ascii="Calibri" w:hAnsi="Calibri"/>
                <w:b/>
                <w:bCs/>
                <w:sz w:val="20"/>
                <w:szCs w:val="20"/>
              </w:rPr>
              <w:t>Troškovi amortizacije</w:t>
            </w:r>
          </w:p>
        </w:tc>
        <w:tc>
          <w:tcPr>
            <w:tcW w:w="1340" w:type="dxa"/>
            <w:tcBorders>
              <w:top w:val="nil"/>
              <w:left w:val="nil"/>
              <w:bottom w:val="single" w:sz="4" w:space="0" w:color="auto"/>
              <w:right w:val="single" w:sz="4" w:space="0" w:color="auto"/>
            </w:tcBorders>
            <w:shd w:val="clear" w:color="000000" w:fill="C5D9F1"/>
            <w:noWrap/>
            <w:vAlign w:val="center"/>
            <w:hideMark/>
          </w:tcPr>
          <w:p w14:paraId="5FBC6637"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55.970,00</w:t>
            </w:r>
          </w:p>
        </w:tc>
        <w:tc>
          <w:tcPr>
            <w:tcW w:w="1320" w:type="dxa"/>
            <w:tcBorders>
              <w:top w:val="nil"/>
              <w:left w:val="nil"/>
              <w:bottom w:val="single" w:sz="4" w:space="0" w:color="auto"/>
              <w:right w:val="single" w:sz="4" w:space="0" w:color="auto"/>
            </w:tcBorders>
            <w:shd w:val="clear" w:color="000000" w:fill="C5D9F1"/>
            <w:noWrap/>
            <w:vAlign w:val="center"/>
            <w:hideMark/>
          </w:tcPr>
          <w:p w14:paraId="59AA3986"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47.912,67</w:t>
            </w:r>
          </w:p>
        </w:tc>
        <w:tc>
          <w:tcPr>
            <w:tcW w:w="1080" w:type="dxa"/>
            <w:tcBorders>
              <w:top w:val="nil"/>
              <w:left w:val="nil"/>
              <w:bottom w:val="single" w:sz="4" w:space="0" w:color="auto"/>
              <w:right w:val="single" w:sz="4" w:space="0" w:color="auto"/>
            </w:tcBorders>
            <w:shd w:val="clear" w:color="000000" w:fill="C5D9F1"/>
            <w:noWrap/>
            <w:vAlign w:val="center"/>
            <w:hideMark/>
          </w:tcPr>
          <w:p w14:paraId="726DB8F2"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85,60</w:t>
            </w:r>
          </w:p>
        </w:tc>
      </w:tr>
      <w:tr w:rsidR="00A6503C" w:rsidRPr="00553AEA" w14:paraId="759B63C8"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B886E07" w14:textId="77777777" w:rsidR="00A6503C" w:rsidRPr="00553AEA" w:rsidRDefault="00A6503C" w:rsidP="00553AEA">
            <w:pPr>
              <w:jc w:val="center"/>
              <w:rPr>
                <w:rFonts w:ascii="Calibri" w:hAnsi="Calibri"/>
                <w:sz w:val="20"/>
                <w:szCs w:val="20"/>
              </w:rPr>
            </w:pPr>
            <w:r w:rsidRPr="00553AEA">
              <w:rPr>
                <w:rFonts w:ascii="Calibri" w:hAnsi="Calibri"/>
                <w:sz w:val="20"/>
                <w:szCs w:val="20"/>
              </w:rPr>
              <w:t>6620</w:t>
            </w:r>
          </w:p>
        </w:tc>
        <w:tc>
          <w:tcPr>
            <w:tcW w:w="4320" w:type="dxa"/>
            <w:tcBorders>
              <w:top w:val="nil"/>
              <w:left w:val="nil"/>
              <w:bottom w:val="single" w:sz="4" w:space="0" w:color="auto"/>
              <w:right w:val="single" w:sz="4" w:space="0" w:color="auto"/>
            </w:tcBorders>
            <w:shd w:val="clear" w:color="auto" w:fill="auto"/>
            <w:vAlign w:val="center"/>
            <w:hideMark/>
          </w:tcPr>
          <w:p w14:paraId="6BF1EF43"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amortizacije osnovnih sredstava</w:t>
            </w:r>
          </w:p>
        </w:tc>
        <w:tc>
          <w:tcPr>
            <w:tcW w:w="1340" w:type="dxa"/>
            <w:tcBorders>
              <w:top w:val="nil"/>
              <w:left w:val="nil"/>
              <w:bottom w:val="single" w:sz="4" w:space="0" w:color="auto"/>
              <w:right w:val="single" w:sz="4" w:space="0" w:color="auto"/>
            </w:tcBorders>
            <w:shd w:val="clear" w:color="auto" w:fill="auto"/>
            <w:noWrap/>
            <w:vAlign w:val="center"/>
            <w:hideMark/>
          </w:tcPr>
          <w:p w14:paraId="3B74CCC2" w14:textId="77777777" w:rsidR="00A6503C" w:rsidRPr="00553AEA" w:rsidRDefault="00A6503C" w:rsidP="00553AEA">
            <w:pPr>
              <w:jc w:val="right"/>
              <w:rPr>
                <w:rFonts w:ascii="Calibri" w:hAnsi="Calibri"/>
                <w:sz w:val="20"/>
                <w:szCs w:val="20"/>
              </w:rPr>
            </w:pPr>
            <w:r w:rsidRPr="00553AEA">
              <w:rPr>
                <w:rFonts w:ascii="Calibri" w:hAnsi="Calibri"/>
                <w:sz w:val="20"/>
                <w:szCs w:val="20"/>
              </w:rPr>
              <w:t>43.970,00</w:t>
            </w:r>
          </w:p>
        </w:tc>
        <w:tc>
          <w:tcPr>
            <w:tcW w:w="1320" w:type="dxa"/>
            <w:tcBorders>
              <w:top w:val="nil"/>
              <w:left w:val="nil"/>
              <w:bottom w:val="single" w:sz="4" w:space="0" w:color="auto"/>
              <w:right w:val="single" w:sz="4" w:space="0" w:color="auto"/>
            </w:tcBorders>
            <w:shd w:val="clear" w:color="auto" w:fill="auto"/>
            <w:noWrap/>
            <w:vAlign w:val="center"/>
            <w:hideMark/>
          </w:tcPr>
          <w:p w14:paraId="0AE00C37"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37.009,03</w:t>
            </w:r>
          </w:p>
        </w:tc>
        <w:tc>
          <w:tcPr>
            <w:tcW w:w="1080" w:type="dxa"/>
            <w:tcBorders>
              <w:top w:val="nil"/>
              <w:left w:val="nil"/>
              <w:bottom w:val="single" w:sz="4" w:space="0" w:color="auto"/>
              <w:right w:val="single" w:sz="4" w:space="0" w:color="auto"/>
            </w:tcBorders>
            <w:shd w:val="clear" w:color="auto" w:fill="auto"/>
            <w:noWrap/>
            <w:vAlign w:val="center"/>
            <w:hideMark/>
          </w:tcPr>
          <w:p w14:paraId="5041565F" w14:textId="77777777" w:rsidR="00A6503C" w:rsidRPr="00553AEA" w:rsidRDefault="00A6503C" w:rsidP="00553AEA">
            <w:pPr>
              <w:jc w:val="center"/>
              <w:rPr>
                <w:rFonts w:ascii="Calibri" w:hAnsi="Calibri"/>
                <w:sz w:val="20"/>
                <w:szCs w:val="20"/>
              </w:rPr>
            </w:pPr>
            <w:r w:rsidRPr="00553AEA">
              <w:rPr>
                <w:rFonts w:ascii="Calibri" w:hAnsi="Calibri"/>
                <w:sz w:val="20"/>
                <w:szCs w:val="20"/>
              </w:rPr>
              <w:t>84,17</w:t>
            </w:r>
          </w:p>
        </w:tc>
      </w:tr>
      <w:tr w:rsidR="00A6503C" w:rsidRPr="00553AEA" w14:paraId="71FC04DA" w14:textId="77777777" w:rsidTr="001A4ADE">
        <w:trPr>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54FF7B9" w14:textId="77777777" w:rsidR="00A6503C" w:rsidRPr="00553AEA" w:rsidRDefault="00A6503C" w:rsidP="00553AEA">
            <w:pPr>
              <w:jc w:val="center"/>
              <w:rPr>
                <w:rFonts w:ascii="Calibri" w:hAnsi="Calibri"/>
                <w:sz w:val="20"/>
                <w:szCs w:val="20"/>
              </w:rPr>
            </w:pPr>
            <w:r w:rsidRPr="00553AEA">
              <w:rPr>
                <w:rFonts w:ascii="Calibri" w:hAnsi="Calibri"/>
                <w:sz w:val="20"/>
                <w:szCs w:val="20"/>
              </w:rPr>
              <w:t>6621</w:t>
            </w:r>
          </w:p>
        </w:tc>
        <w:tc>
          <w:tcPr>
            <w:tcW w:w="4320" w:type="dxa"/>
            <w:tcBorders>
              <w:top w:val="nil"/>
              <w:left w:val="nil"/>
              <w:bottom w:val="single" w:sz="4" w:space="0" w:color="auto"/>
              <w:right w:val="single" w:sz="4" w:space="0" w:color="auto"/>
            </w:tcBorders>
            <w:shd w:val="clear" w:color="auto" w:fill="auto"/>
            <w:vAlign w:val="center"/>
            <w:hideMark/>
          </w:tcPr>
          <w:p w14:paraId="47DF6F04"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amortizacije nematerijalne imovine</w:t>
            </w:r>
          </w:p>
        </w:tc>
        <w:tc>
          <w:tcPr>
            <w:tcW w:w="1340" w:type="dxa"/>
            <w:tcBorders>
              <w:top w:val="nil"/>
              <w:left w:val="nil"/>
              <w:bottom w:val="single" w:sz="4" w:space="0" w:color="auto"/>
              <w:right w:val="single" w:sz="4" w:space="0" w:color="auto"/>
            </w:tcBorders>
            <w:shd w:val="clear" w:color="auto" w:fill="auto"/>
            <w:noWrap/>
            <w:vAlign w:val="center"/>
            <w:hideMark/>
          </w:tcPr>
          <w:p w14:paraId="61B2BB20" w14:textId="77777777" w:rsidR="00A6503C" w:rsidRPr="00553AEA" w:rsidRDefault="00A6503C" w:rsidP="00553AEA">
            <w:pPr>
              <w:jc w:val="right"/>
              <w:rPr>
                <w:rFonts w:ascii="Calibri" w:hAnsi="Calibri"/>
                <w:sz w:val="20"/>
                <w:szCs w:val="20"/>
              </w:rPr>
            </w:pPr>
            <w:r w:rsidRPr="00553AEA">
              <w:rPr>
                <w:rFonts w:ascii="Calibri" w:hAnsi="Calibri"/>
                <w:sz w:val="20"/>
                <w:szCs w:val="20"/>
              </w:rPr>
              <w:t>9.000,00</w:t>
            </w:r>
          </w:p>
        </w:tc>
        <w:tc>
          <w:tcPr>
            <w:tcW w:w="1320" w:type="dxa"/>
            <w:tcBorders>
              <w:top w:val="nil"/>
              <w:left w:val="nil"/>
              <w:bottom w:val="single" w:sz="4" w:space="0" w:color="auto"/>
              <w:right w:val="single" w:sz="4" w:space="0" w:color="auto"/>
            </w:tcBorders>
            <w:shd w:val="clear" w:color="auto" w:fill="auto"/>
            <w:noWrap/>
            <w:vAlign w:val="center"/>
            <w:hideMark/>
          </w:tcPr>
          <w:p w14:paraId="20C1B031"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7.672,28</w:t>
            </w:r>
          </w:p>
        </w:tc>
        <w:tc>
          <w:tcPr>
            <w:tcW w:w="1080" w:type="dxa"/>
            <w:tcBorders>
              <w:top w:val="nil"/>
              <w:left w:val="nil"/>
              <w:bottom w:val="single" w:sz="4" w:space="0" w:color="auto"/>
              <w:right w:val="single" w:sz="4" w:space="0" w:color="auto"/>
            </w:tcBorders>
            <w:shd w:val="clear" w:color="auto" w:fill="auto"/>
            <w:noWrap/>
            <w:vAlign w:val="center"/>
            <w:hideMark/>
          </w:tcPr>
          <w:p w14:paraId="4190FB0D" w14:textId="77777777" w:rsidR="00A6503C" w:rsidRPr="00553AEA" w:rsidRDefault="00A6503C" w:rsidP="00553AEA">
            <w:pPr>
              <w:jc w:val="center"/>
              <w:rPr>
                <w:rFonts w:ascii="Calibri" w:hAnsi="Calibri"/>
                <w:sz w:val="20"/>
                <w:szCs w:val="20"/>
              </w:rPr>
            </w:pPr>
            <w:r w:rsidRPr="00553AEA">
              <w:rPr>
                <w:rFonts w:ascii="Calibri" w:hAnsi="Calibri"/>
                <w:sz w:val="20"/>
                <w:szCs w:val="20"/>
              </w:rPr>
              <w:t>85,25</w:t>
            </w:r>
          </w:p>
        </w:tc>
      </w:tr>
      <w:tr w:rsidR="00A6503C" w:rsidRPr="00553AEA" w14:paraId="2A3EAB67"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C5304F2" w14:textId="77777777" w:rsidR="00A6503C" w:rsidRPr="00553AEA" w:rsidRDefault="00A6503C" w:rsidP="00553AEA">
            <w:pPr>
              <w:jc w:val="center"/>
              <w:rPr>
                <w:rFonts w:ascii="Calibri" w:hAnsi="Calibri"/>
                <w:sz w:val="20"/>
                <w:szCs w:val="20"/>
              </w:rPr>
            </w:pPr>
            <w:r w:rsidRPr="00553AEA">
              <w:rPr>
                <w:rFonts w:ascii="Calibri" w:hAnsi="Calibri"/>
                <w:sz w:val="20"/>
                <w:szCs w:val="20"/>
              </w:rPr>
              <w:t>6620</w:t>
            </w:r>
          </w:p>
        </w:tc>
        <w:tc>
          <w:tcPr>
            <w:tcW w:w="4320" w:type="dxa"/>
            <w:tcBorders>
              <w:top w:val="nil"/>
              <w:left w:val="nil"/>
              <w:bottom w:val="single" w:sz="4" w:space="0" w:color="auto"/>
              <w:right w:val="single" w:sz="4" w:space="0" w:color="auto"/>
            </w:tcBorders>
            <w:shd w:val="clear" w:color="auto" w:fill="auto"/>
            <w:vAlign w:val="center"/>
            <w:hideMark/>
          </w:tcPr>
          <w:p w14:paraId="47F1AB87"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amortizacije – ulaganje u tuđe nekretnine</w:t>
            </w:r>
          </w:p>
        </w:tc>
        <w:tc>
          <w:tcPr>
            <w:tcW w:w="1340" w:type="dxa"/>
            <w:tcBorders>
              <w:top w:val="nil"/>
              <w:left w:val="nil"/>
              <w:bottom w:val="single" w:sz="4" w:space="0" w:color="auto"/>
              <w:right w:val="single" w:sz="4" w:space="0" w:color="auto"/>
            </w:tcBorders>
            <w:shd w:val="clear" w:color="auto" w:fill="auto"/>
            <w:noWrap/>
            <w:vAlign w:val="center"/>
            <w:hideMark/>
          </w:tcPr>
          <w:p w14:paraId="1D4E3E60" w14:textId="77777777" w:rsidR="00A6503C" w:rsidRPr="00553AEA" w:rsidRDefault="00A6503C" w:rsidP="00553AEA">
            <w:pPr>
              <w:jc w:val="right"/>
              <w:rPr>
                <w:rFonts w:ascii="Calibri" w:hAnsi="Calibri"/>
                <w:sz w:val="20"/>
                <w:szCs w:val="20"/>
              </w:rPr>
            </w:pPr>
            <w:r w:rsidRPr="00553AEA">
              <w:rPr>
                <w:rFonts w:ascii="Calibri" w:hAnsi="Calibri"/>
                <w:sz w:val="20"/>
                <w:szCs w:val="20"/>
              </w:rPr>
              <w:t>3.000,00</w:t>
            </w:r>
          </w:p>
        </w:tc>
        <w:tc>
          <w:tcPr>
            <w:tcW w:w="1320" w:type="dxa"/>
            <w:tcBorders>
              <w:top w:val="nil"/>
              <w:left w:val="nil"/>
              <w:bottom w:val="single" w:sz="4" w:space="0" w:color="auto"/>
              <w:right w:val="single" w:sz="4" w:space="0" w:color="auto"/>
            </w:tcBorders>
            <w:shd w:val="clear" w:color="auto" w:fill="auto"/>
            <w:noWrap/>
            <w:vAlign w:val="center"/>
            <w:hideMark/>
          </w:tcPr>
          <w:p w14:paraId="5DBBA4AB"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3.231,36</w:t>
            </w:r>
          </w:p>
        </w:tc>
        <w:tc>
          <w:tcPr>
            <w:tcW w:w="1080" w:type="dxa"/>
            <w:tcBorders>
              <w:top w:val="nil"/>
              <w:left w:val="nil"/>
              <w:bottom w:val="single" w:sz="4" w:space="0" w:color="auto"/>
              <w:right w:val="single" w:sz="4" w:space="0" w:color="auto"/>
            </w:tcBorders>
            <w:shd w:val="clear" w:color="auto" w:fill="auto"/>
            <w:noWrap/>
            <w:vAlign w:val="center"/>
            <w:hideMark/>
          </w:tcPr>
          <w:p w14:paraId="02A90C04" w14:textId="77777777" w:rsidR="00A6503C" w:rsidRPr="00553AEA" w:rsidRDefault="00A6503C" w:rsidP="00553AEA">
            <w:pPr>
              <w:jc w:val="center"/>
              <w:rPr>
                <w:rFonts w:ascii="Calibri" w:hAnsi="Calibri"/>
                <w:sz w:val="20"/>
                <w:szCs w:val="20"/>
              </w:rPr>
            </w:pPr>
            <w:r w:rsidRPr="00553AEA">
              <w:rPr>
                <w:rFonts w:ascii="Calibri" w:hAnsi="Calibri"/>
                <w:sz w:val="20"/>
                <w:szCs w:val="20"/>
              </w:rPr>
              <w:t>107,71</w:t>
            </w:r>
          </w:p>
        </w:tc>
      </w:tr>
      <w:tr w:rsidR="00A6503C" w:rsidRPr="00553AEA" w14:paraId="716AD2BC" w14:textId="77777777" w:rsidTr="001A4ADE">
        <w:trPr>
          <w:trHeight w:val="510"/>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41425FDE"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664</w:t>
            </w:r>
          </w:p>
        </w:tc>
        <w:tc>
          <w:tcPr>
            <w:tcW w:w="4320" w:type="dxa"/>
            <w:tcBorders>
              <w:top w:val="nil"/>
              <w:left w:val="nil"/>
              <w:bottom w:val="single" w:sz="4" w:space="0" w:color="auto"/>
              <w:right w:val="single" w:sz="4" w:space="0" w:color="auto"/>
            </w:tcBorders>
            <w:shd w:val="clear" w:color="000000" w:fill="C5D9F1"/>
            <w:vAlign w:val="center"/>
            <w:hideMark/>
          </w:tcPr>
          <w:p w14:paraId="2A64A323" w14:textId="77777777" w:rsidR="00A6503C" w:rsidRPr="00553AEA" w:rsidRDefault="00A6503C" w:rsidP="00553AEA">
            <w:pPr>
              <w:jc w:val="left"/>
              <w:rPr>
                <w:rFonts w:ascii="Calibri" w:hAnsi="Calibri"/>
                <w:b/>
                <w:bCs/>
                <w:sz w:val="20"/>
                <w:szCs w:val="20"/>
              </w:rPr>
            </w:pPr>
            <w:r w:rsidRPr="00553AEA">
              <w:rPr>
                <w:rFonts w:ascii="Calibri" w:hAnsi="Calibri"/>
                <w:b/>
                <w:bCs/>
                <w:sz w:val="20"/>
                <w:szCs w:val="20"/>
              </w:rPr>
              <w:t>Nematerijalni troškovi (bez poreza i doprinosa)</w:t>
            </w:r>
          </w:p>
        </w:tc>
        <w:tc>
          <w:tcPr>
            <w:tcW w:w="1340" w:type="dxa"/>
            <w:tcBorders>
              <w:top w:val="nil"/>
              <w:left w:val="nil"/>
              <w:bottom w:val="single" w:sz="4" w:space="0" w:color="auto"/>
              <w:right w:val="single" w:sz="4" w:space="0" w:color="auto"/>
            </w:tcBorders>
            <w:shd w:val="clear" w:color="000000" w:fill="C5D9F1"/>
            <w:noWrap/>
            <w:vAlign w:val="center"/>
            <w:hideMark/>
          </w:tcPr>
          <w:p w14:paraId="71D3473C"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143.593,00</w:t>
            </w:r>
          </w:p>
        </w:tc>
        <w:tc>
          <w:tcPr>
            <w:tcW w:w="1320" w:type="dxa"/>
            <w:tcBorders>
              <w:top w:val="nil"/>
              <w:left w:val="nil"/>
              <w:bottom w:val="single" w:sz="4" w:space="0" w:color="auto"/>
              <w:right w:val="single" w:sz="4" w:space="0" w:color="auto"/>
            </w:tcBorders>
            <w:shd w:val="clear" w:color="000000" w:fill="C5D9F1"/>
            <w:noWrap/>
            <w:vAlign w:val="center"/>
            <w:hideMark/>
          </w:tcPr>
          <w:p w14:paraId="5160BA9D"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182.942,28</w:t>
            </w:r>
          </w:p>
        </w:tc>
        <w:tc>
          <w:tcPr>
            <w:tcW w:w="1080" w:type="dxa"/>
            <w:tcBorders>
              <w:top w:val="nil"/>
              <w:left w:val="nil"/>
              <w:bottom w:val="single" w:sz="4" w:space="0" w:color="auto"/>
              <w:right w:val="single" w:sz="4" w:space="0" w:color="auto"/>
            </w:tcBorders>
            <w:shd w:val="clear" w:color="000000" w:fill="C5D9F1"/>
            <w:noWrap/>
            <w:vAlign w:val="center"/>
            <w:hideMark/>
          </w:tcPr>
          <w:p w14:paraId="06E3EF95"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127,40</w:t>
            </w:r>
          </w:p>
        </w:tc>
      </w:tr>
      <w:tr w:rsidR="00A6503C" w:rsidRPr="00553AEA" w14:paraId="32855889"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A236B90" w14:textId="77777777" w:rsidR="00A6503C" w:rsidRPr="00553AEA" w:rsidRDefault="00A6503C" w:rsidP="00553AEA">
            <w:pPr>
              <w:jc w:val="center"/>
              <w:rPr>
                <w:rFonts w:ascii="Calibri" w:hAnsi="Calibri"/>
                <w:sz w:val="20"/>
                <w:szCs w:val="20"/>
              </w:rPr>
            </w:pPr>
            <w:r w:rsidRPr="00553AEA">
              <w:rPr>
                <w:rFonts w:ascii="Calibri" w:hAnsi="Calibri"/>
                <w:sz w:val="20"/>
                <w:szCs w:val="20"/>
              </w:rPr>
              <w:t>6641</w:t>
            </w:r>
          </w:p>
        </w:tc>
        <w:tc>
          <w:tcPr>
            <w:tcW w:w="4320" w:type="dxa"/>
            <w:tcBorders>
              <w:top w:val="nil"/>
              <w:left w:val="nil"/>
              <w:bottom w:val="single" w:sz="4" w:space="0" w:color="auto"/>
              <w:right w:val="single" w:sz="4" w:space="0" w:color="auto"/>
            </w:tcBorders>
            <w:shd w:val="clear" w:color="auto" w:fill="auto"/>
            <w:vAlign w:val="center"/>
            <w:hideMark/>
          </w:tcPr>
          <w:p w14:paraId="2BE23121"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konkursa</w:t>
            </w:r>
          </w:p>
        </w:tc>
        <w:tc>
          <w:tcPr>
            <w:tcW w:w="1340" w:type="dxa"/>
            <w:tcBorders>
              <w:top w:val="nil"/>
              <w:left w:val="nil"/>
              <w:bottom w:val="single" w:sz="4" w:space="0" w:color="auto"/>
              <w:right w:val="single" w:sz="4" w:space="0" w:color="auto"/>
            </w:tcBorders>
            <w:shd w:val="clear" w:color="auto" w:fill="auto"/>
            <w:noWrap/>
            <w:vAlign w:val="center"/>
            <w:hideMark/>
          </w:tcPr>
          <w:p w14:paraId="1F839336" w14:textId="77777777" w:rsidR="00A6503C" w:rsidRPr="00553AEA" w:rsidRDefault="00A6503C" w:rsidP="00553AEA">
            <w:pPr>
              <w:jc w:val="right"/>
              <w:rPr>
                <w:rFonts w:ascii="Calibri" w:hAnsi="Calibri"/>
                <w:sz w:val="20"/>
                <w:szCs w:val="20"/>
              </w:rPr>
            </w:pPr>
            <w:r w:rsidRPr="00553AEA">
              <w:rPr>
                <w:rFonts w:ascii="Calibri" w:hAnsi="Calibri"/>
                <w:sz w:val="20"/>
                <w:szCs w:val="20"/>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15B33864"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811,42</w:t>
            </w:r>
          </w:p>
        </w:tc>
        <w:tc>
          <w:tcPr>
            <w:tcW w:w="1080" w:type="dxa"/>
            <w:tcBorders>
              <w:top w:val="nil"/>
              <w:left w:val="nil"/>
              <w:bottom w:val="single" w:sz="4" w:space="0" w:color="auto"/>
              <w:right w:val="single" w:sz="4" w:space="0" w:color="auto"/>
            </w:tcBorders>
            <w:shd w:val="clear" w:color="auto" w:fill="auto"/>
            <w:noWrap/>
            <w:vAlign w:val="center"/>
            <w:hideMark/>
          </w:tcPr>
          <w:p w14:paraId="17870988" w14:textId="77777777" w:rsidR="00A6503C" w:rsidRPr="00553AEA" w:rsidRDefault="00A6503C" w:rsidP="00553AEA">
            <w:pPr>
              <w:jc w:val="center"/>
              <w:rPr>
                <w:rFonts w:ascii="Calibri" w:hAnsi="Calibri"/>
                <w:sz w:val="20"/>
                <w:szCs w:val="20"/>
              </w:rPr>
            </w:pPr>
            <w:r w:rsidRPr="00553AEA">
              <w:rPr>
                <w:rFonts w:ascii="Calibri" w:hAnsi="Calibri"/>
                <w:sz w:val="20"/>
                <w:szCs w:val="20"/>
              </w:rPr>
              <w:t>40,57</w:t>
            </w:r>
          </w:p>
        </w:tc>
      </w:tr>
      <w:tr w:rsidR="00A6503C" w:rsidRPr="00553AEA" w14:paraId="16D7CC7C"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0A2471A" w14:textId="77777777" w:rsidR="00A6503C" w:rsidRPr="00553AEA" w:rsidRDefault="00A6503C" w:rsidP="00553AEA">
            <w:pPr>
              <w:jc w:val="center"/>
              <w:rPr>
                <w:rFonts w:ascii="Calibri" w:hAnsi="Calibri"/>
                <w:sz w:val="20"/>
                <w:szCs w:val="20"/>
              </w:rPr>
            </w:pPr>
            <w:r w:rsidRPr="00553AEA">
              <w:rPr>
                <w:rFonts w:ascii="Calibri" w:hAnsi="Calibri"/>
                <w:sz w:val="20"/>
                <w:szCs w:val="20"/>
              </w:rPr>
              <w:t>66410</w:t>
            </w:r>
          </w:p>
        </w:tc>
        <w:tc>
          <w:tcPr>
            <w:tcW w:w="4320" w:type="dxa"/>
            <w:tcBorders>
              <w:top w:val="nil"/>
              <w:left w:val="nil"/>
              <w:bottom w:val="single" w:sz="4" w:space="0" w:color="auto"/>
              <w:right w:val="single" w:sz="4" w:space="0" w:color="auto"/>
            </w:tcBorders>
            <w:shd w:val="clear" w:color="auto" w:fill="auto"/>
            <w:vAlign w:val="center"/>
            <w:hideMark/>
          </w:tcPr>
          <w:p w14:paraId="2C8E874A"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stručne literature – časopisi</w:t>
            </w:r>
          </w:p>
        </w:tc>
        <w:tc>
          <w:tcPr>
            <w:tcW w:w="1340" w:type="dxa"/>
            <w:tcBorders>
              <w:top w:val="nil"/>
              <w:left w:val="nil"/>
              <w:bottom w:val="single" w:sz="4" w:space="0" w:color="auto"/>
              <w:right w:val="single" w:sz="4" w:space="0" w:color="auto"/>
            </w:tcBorders>
            <w:shd w:val="clear" w:color="auto" w:fill="auto"/>
            <w:noWrap/>
            <w:vAlign w:val="center"/>
            <w:hideMark/>
          </w:tcPr>
          <w:p w14:paraId="72E8E95D" w14:textId="77777777" w:rsidR="00A6503C" w:rsidRPr="00553AEA" w:rsidRDefault="00A6503C" w:rsidP="00553AEA">
            <w:pPr>
              <w:jc w:val="right"/>
              <w:rPr>
                <w:rFonts w:ascii="Calibri" w:hAnsi="Calibri"/>
                <w:sz w:val="20"/>
                <w:szCs w:val="20"/>
              </w:rPr>
            </w:pPr>
            <w:r w:rsidRPr="00553AEA">
              <w:rPr>
                <w:rFonts w:ascii="Calibri" w:hAnsi="Calibri"/>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14:paraId="6C4D7990"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1.839,50</w:t>
            </w:r>
          </w:p>
        </w:tc>
        <w:tc>
          <w:tcPr>
            <w:tcW w:w="1080" w:type="dxa"/>
            <w:tcBorders>
              <w:top w:val="nil"/>
              <w:left w:val="nil"/>
              <w:bottom w:val="single" w:sz="4" w:space="0" w:color="auto"/>
              <w:right w:val="single" w:sz="4" w:space="0" w:color="auto"/>
            </w:tcBorders>
            <w:shd w:val="clear" w:color="auto" w:fill="auto"/>
            <w:noWrap/>
            <w:vAlign w:val="center"/>
            <w:hideMark/>
          </w:tcPr>
          <w:p w14:paraId="733D6EFD" w14:textId="77777777" w:rsidR="00A6503C" w:rsidRPr="00553AEA" w:rsidRDefault="00A6503C" w:rsidP="00553AEA">
            <w:pPr>
              <w:jc w:val="center"/>
              <w:rPr>
                <w:rFonts w:ascii="Calibri" w:hAnsi="Calibri"/>
                <w:sz w:val="20"/>
                <w:szCs w:val="20"/>
              </w:rPr>
            </w:pPr>
            <w:r w:rsidRPr="00553AEA">
              <w:rPr>
                <w:rFonts w:ascii="Calibri" w:hAnsi="Calibri"/>
                <w:sz w:val="20"/>
                <w:szCs w:val="20"/>
              </w:rPr>
              <w:t>45,99</w:t>
            </w:r>
          </w:p>
        </w:tc>
      </w:tr>
      <w:tr w:rsidR="00A6503C" w:rsidRPr="00553AEA" w14:paraId="293A1585"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FCC6C2A" w14:textId="77777777" w:rsidR="00A6503C" w:rsidRPr="00553AEA" w:rsidRDefault="00A6503C" w:rsidP="00553AEA">
            <w:pPr>
              <w:jc w:val="center"/>
              <w:rPr>
                <w:rFonts w:ascii="Calibri" w:hAnsi="Calibri"/>
                <w:sz w:val="20"/>
                <w:szCs w:val="20"/>
              </w:rPr>
            </w:pPr>
            <w:r w:rsidRPr="00553AEA">
              <w:rPr>
                <w:rFonts w:ascii="Calibri" w:hAnsi="Calibri"/>
                <w:sz w:val="20"/>
                <w:szCs w:val="20"/>
              </w:rPr>
              <w:t>66411</w:t>
            </w:r>
          </w:p>
        </w:tc>
        <w:tc>
          <w:tcPr>
            <w:tcW w:w="4320" w:type="dxa"/>
            <w:tcBorders>
              <w:top w:val="nil"/>
              <w:left w:val="nil"/>
              <w:bottom w:val="single" w:sz="4" w:space="0" w:color="auto"/>
              <w:right w:val="single" w:sz="4" w:space="0" w:color="auto"/>
            </w:tcBorders>
            <w:shd w:val="clear" w:color="auto" w:fill="auto"/>
            <w:vAlign w:val="center"/>
            <w:hideMark/>
          </w:tcPr>
          <w:p w14:paraId="105E6D2A"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usluge održavanja (osig.i video nadzor)</w:t>
            </w:r>
          </w:p>
        </w:tc>
        <w:tc>
          <w:tcPr>
            <w:tcW w:w="1340" w:type="dxa"/>
            <w:tcBorders>
              <w:top w:val="nil"/>
              <w:left w:val="nil"/>
              <w:bottom w:val="single" w:sz="4" w:space="0" w:color="auto"/>
              <w:right w:val="single" w:sz="4" w:space="0" w:color="auto"/>
            </w:tcBorders>
            <w:shd w:val="clear" w:color="auto" w:fill="auto"/>
            <w:noWrap/>
            <w:vAlign w:val="center"/>
            <w:hideMark/>
          </w:tcPr>
          <w:p w14:paraId="118E98F0" w14:textId="77777777" w:rsidR="00A6503C" w:rsidRPr="00553AEA" w:rsidRDefault="00A6503C" w:rsidP="00553AEA">
            <w:pPr>
              <w:jc w:val="right"/>
              <w:rPr>
                <w:rFonts w:ascii="Calibri" w:hAnsi="Calibri"/>
                <w:sz w:val="20"/>
                <w:szCs w:val="20"/>
              </w:rPr>
            </w:pPr>
            <w:r w:rsidRPr="00553AEA">
              <w:rPr>
                <w:rFonts w:ascii="Calibri" w:hAnsi="Calibri"/>
                <w:sz w:val="20"/>
                <w:szCs w:val="20"/>
              </w:rPr>
              <w:t>4.200,00</w:t>
            </w:r>
          </w:p>
        </w:tc>
        <w:tc>
          <w:tcPr>
            <w:tcW w:w="1320" w:type="dxa"/>
            <w:tcBorders>
              <w:top w:val="nil"/>
              <w:left w:val="nil"/>
              <w:bottom w:val="single" w:sz="4" w:space="0" w:color="auto"/>
              <w:right w:val="single" w:sz="4" w:space="0" w:color="auto"/>
            </w:tcBorders>
            <w:shd w:val="clear" w:color="auto" w:fill="auto"/>
            <w:noWrap/>
            <w:vAlign w:val="center"/>
            <w:hideMark/>
          </w:tcPr>
          <w:p w14:paraId="268DD6E7"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1.434,75</w:t>
            </w:r>
          </w:p>
        </w:tc>
        <w:tc>
          <w:tcPr>
            <w:tcW w:w="1080" w:type="dxa"/>
            <w:tcBorders>
              <w:top w:val="nil"/>
              <w:left w:val="nil"/>
              <w:bottom w:val="single" w:sz="4" w:space="0" w:color="auto"/>
              <w:right w:val="single" w:sz="4" w:space="0" w:color="auto"/>
            </w:tcBorders>
            <w:shd w:val="clear" w:color="auto" w:fill="auto"/>
            <w:noWrap/>
            <w:vAlign w:val="center"/>
            <w:hideMark/>
          </w:tcPr>
          <w:p w14:paraId="2A7A19BC" w14:textId="77777777" w:rsidR="00A6503C" w:rsidRPr="00553AEA" w:rsidRDefault="00A6503C" w:rsidP="00553AEA">
            <w:pPr>
              <w:jc w:val="center"/>
              <w:rPr>
                <w:rFonts w:ascii="Calibri" w:hAnsi="Calibri"/>
                <w:sz w:val="20"/>
                <w:szCs w:val="20"/>
              </w:rPr>
            </w:pPr>
            <w:r w:rsidRPr="00553AEA">
              <w:rPr>
                <w:rFonts w:ascii="Calibri" w:hAnsi="Calibri"/>
                <w:sz w:val="20"/>
                <w:szCs w:val="20"/>
              </w:rPr>
              <w:t>34,16</w:t>
            </w:r>
          </w:p>
        </w:tc>
      </w:tr>
      <w:tr w:rsidR="00A6503C" w:rsidRPr="00553AEA" w14:paraId="56A6D327"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4584916" w14:textId="77777777" w:rsidR="00A6503C" w:rsidRPr="00553AEA" w:rsidRDefault="00A6503C" w:rsidP="00553AEA">
            <w:pPr>
              <w:jc w:val="center"/>
              <w:rPr>
                <w:rFonts w:ascii="Calibri" w:hAnsi="Calibri"/>
                <w:sz w:val="20"/>
                <w:szCs w:val="20"/>
              </w:rPr>
            </w:pPr>
            <w:r w:rsidRPr="00553AEA">
              <w:rPr>
                <w:rFonts w:ascii="Calibri" w:hAnsi="Calibri"/>
                <w:sz w:val="20"/>
                <w:szCs w:val="20"/>
              </w:rPr>
              <w:t>66414</w:t>
            </w:r>
          </w:p>
        </w:tc>
        <w:tc>
          <w:tcPr>
            <w:tcW w:w="4320" w:type="dxa"/>
            <w:tcBorders>
              <w:top w:val="nil"/>
              <w:left w:val="nil"/>
              <w:bottom w:val="single" w:sz="4" w:space="0" w:color="auto"/>
              <w:right w:val="single" w:sz="4" w:space="0" w:color="auto"/>
            </w:tcBorders>
            <w:shd w:val="clear" w:color="auto" w:fill="auto"/>
            <w:vAlign w:val="center"/>
            <w:hideMark/>
          </w:tcPr>
          <w:p w14:paraId="39F8AC8E"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troškovi, kazne i šteta</w:t>
            </w:r>
          </w:p>
        </w:tc>
        <w:tc>
          <w:tcPr>
            <w:tcW w:w="1340" w:type="dxa"/>
            <w:tcBorders>
              <w:top w:val="nil"/>
              <w:left w:val="nil"/>
              <w:bottom w:val="single" w:sz="4" w:space="0" w:color="auto"/>
              <w:right w:val="single" w:sz="4" w:space="0" w:color="auto"/>
            </w:tcBorders>
            <w:shd w:val="clear" w:color="auto" w:fill="auto"/>
            <w:noWrap/>
            <w:vAlign w:val="center"/>
            <w:hideMark/>
          </w:tcPr>
          <w:p w14:paraId="14009C14" w14:textId="77777777" w:rsidR="00A6503C" w:rsidRPr="00553AEA" w:rsidRDefault="00A6503C" w:rsidP="00553AEA">
            <w:pPr>
              <w:jc w:val="right"/>
              <w:rPr>
                <w:rFonts w:ascii="Calibri" w:hAnsi="Calibri"/>
                <w:sz w:val="20"/>
                <w:szCs w:val="20"/>
              </w:rPr>
            </w:pPr>
            <w:r w:rsidRPr="00553AEA">
              <w:rPr>
                <w:rFonts w:ascii="Calibri" w:hAnsi="Calibri"/>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14:paraId="76707298"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288,75</w:t>
            </w:r>
          </w:p>
        </w:tc>
        <w:tc>
          <w:tcPr>
            <w:tcW w:w="1080" w:type="dxa"/>
            <w:tcBorders>
              <w:top w:val="nil"/>
              <w:left w:val="nil"/>
              <w:bottom w:val="single" w:sz="4" w:space="0" w:color="auto"/>
              <w:right w:val="single" w:sz="4" w:space="0" w:color="auto"/>
            </w:tcBorders>
            <w:shd w:val="clear" w:color="auto" w:fill="auto"/>
            <w:noWrap/>
            <w:vAlign w:val="center"/>
            <w:hideMark/>
          </w:tcPr>
          <w:p w14:paraId="52E92E6C"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5FF34A7E"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8FF6AEA" w14:textId="77777777" w:rsidR="00A6503C" w:rsidRPr="00553AEA" w:rsidRDefault="00A6503C" w:rsidP="00553AEA">
            <w:pPr>
              <w:jc w:val="center"/>
              <w:rPr>
                <w:rFonts w:ascii="Calibri" w:hAnsi="Calibri"/>
                <w:sz w:val="20"/>
                <w:szCs w:val="20"/>
              </w:rPr>
            </w:pPr>
            <w:r w:rsidRPr="00553AEA">
              <w:rPr>
                <w:rFonts w:ascii="Calibri" w:hAnsi="Calibri"/>
                <w:sz w:val="20"/>
                <w:szCs w:val="20"/>
              </w:rPr>
              <w:t>66415</w:t>
            </w:r>
          </w:p>
        </w:tc>
        <w:tc>
          <w:tcPr>
            <w:tcW w:w="4320" w:type="dxa"/>
            <w:tcBorders>
              <w:top w:val="nil"/>
              <w:left w:val="nil"/>
              <w:bottom w:val="single" w:sz="4" w:space="0" w:color="auto"/>
              <w:right w:val="single" w:sz="4" w:space="0" w:color="auto"/>
            </w:tcBorders>
            <w:shd w:val="clear" w:color="auto" w:fill="auto"/>
            <w:vAlign w:val="center"/>
            <w:hideMark/>
          </w:tcPr>
          <w:p w14:paraId="59B5747D"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komunalne usluge</w:t>
            </w:r>
          </w:p>
        </w:tc>
        <w:tc>
          <w:tcPr>
            <w:tcW w:w="1340" w:type="dxa"/>
            <w:tcBorders>
              <w:top w:val="nil"/>
              <w:left w:val="nil"/>
              <w:bottom w:val="single" w:sz="4" w:space="0" w:color="auto"/>
              <w:right w:val="single" w:sz="4" w:space="0" w:color="auto"/>
            </w:tcBorders>
            <w:shd w:val="clear" w:color="auto" w:fill="auto"/>
            <w:noWrap/>
            <w:vAlign w:val="center"/>
            <w:hideMark/>
          </w:tcPr>
          <w:p w14:paraId="2142C551" w14:textId="77777777" w:rsidR="00A6503C" w:rsidRPr="00553AEA" w:rsidRDefault="00A6503C" w:rsidP="00553AEA">
            <w:pPr>
              <w:jc w:val="right"/>
              <w:rPr>
                <w:rFonts w:ascii="Calibri" w:hAnsi="Calibri"/>
                <w:sz w:val="20"/>
                <w:szCs w:val="20"/>
              </w:rPr>
            </w:pPr>
            <w:r w:rsidRPr="00553AEA">
              <w:rPr>
                <w:rFonts w:ascii="Calibri" w:hAnsi="Calibri"/>
                <w:sz w:val="20"/>
                <w:szCs w:val="20"/>
              </w:rPr>
              <w:t>400,00</w:t>
            </w:r>
          </w:p>
        </w:tc>
        <w:tc>
          <w:tcPr>
            <w:tcW w:w="1320" w:type="dxa"/>
            <w:tcBorders>
              <w:top w:val="nil"/>
              <w:left w:val="nil"/>
              <w:bottom w:val="single" w:sz="4" w:space="0" w:color="auto"/>
              <w:right w:val="single" w:sz="4" w:space="0" w:color="auto"/>
            </w:tcBorders>
            <w:shd w:val="clear" w:color="auto" w:fill="auto"/>
            <w:noWrap/>
            <w:vAlign w:val="center"/>
            <w:hideMark/>
          </w:tcPr>
          <w:p w14:paraId="1998691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301,66</w:t>
            </w:r>
          </w:p>
        </w:tc>
        <w:tc>
          <w:tcPr>
            <w:tcW w:w="1080" w:type="dxa"/>
            <w:tcBorders>
              <w:top w:val="nil"/>
              <w:left w:val="nil"/>
              <w:bottom w:val="single" w:sz="4" w:space="0" w:color="auto"/>
              <w:right w:val="single" w:sz="4" w:space="0" w:color="auto"/>
            </w:tcBorders>
            <w:shd w:val="clear" w:color="auto" w:fill="auto"/>
            <w:noWrap/>
            <w:vAlign w:val="center"/>
            <w:hideMark/>
          </w:tcPr>
          <w:p w14:paraId="0704D886" w14:textId="77777777" w:rsidR="00A6503C" w:rsidRPr="00553AEA" w:rsidRDefault="00A6503C" w:rsidP="00553AEA">
            <w:pPr>
              <w:jc w:val="center"/>
              <w:rPr>
                <w:rFonts w:ascii="Calibri" w:hAnsi="Calibri"/>
                <w:sz w:val="20"/>
                <w:szCs w:val="20"/>
              </w:rPr>
            </w:pPr>
            <w:r w:rsidRPr="00553AEA">
              <w:rPr>
                <w:rFonts w:ascii="Calibri" w:hAnsi="Calibri"/>
                <w:sz w:val="20"/>
                <w:szCs w:val="20"/>
              </w:rPr>
              <w:t>75,42</w:t>
            </w:r>
          </w:p>
        </w:tc>
      </w:tr>
      <w:tr w:rsidR="00A6503C" w:rsidRPr="00553AEA" w14:paraId="3CAC6178"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37DBE5C" w14:textId="77777777" w:rsidR="00A6503C" w:rsidRPr="00553AEA" w:rsidRDefault="00A6503C" w:rsidP="00553AEA">
            <w:pPr>
              <w:jc w:val="center"/>
              <w:rPr>
                <w:rFonts w:ascii="Calibri" w:hAnsi="Calibri"/>
                <w:sz w:val="20"/>
                <w:szCs w:val="20"/>
              </w:rPr>
            </w:pPr>
            <w:r w:rsidRPr="00553AEA">
              <w:rPr>
                <w:rFonts w:ascii="Calibri" w:hAnsi="Calibri"/>
                <w:sz w:val="20"/>
                <w:szCs w:val="20"/>
              </w:rPr>
              <w:t>66417</w:t>
            </w:r>
          </w:p>
        </w:tc>
        <w:tc>
          <w:tcPr>
            <w:tcW w:w="4320" w:type="dxa"/>
            <w:tcBorders>
              <w:top w:val="nil"/>
              <w:left w:val="nil"/>
              <w:bottom w:val="single" w:sz="4" w:space="0" w:color="auto"/>
              <w:right w:val="single" w:sz="4" w:space="0" w:color="auto"/>
            </w:tcBorders>
            <w:shd w:val="clear" w:color="auto" w:fill="auto"/>
            <w:vAlign w:val="center"/>
            <w:hideMark/>
          </w:tcPr>
          <w:p w14:paraId="59FC8931"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revizije finansijskih izvještaja</w:t>
            </w:r>
          </w:p>
        </w:tc>
        <w:tc>
          <w:tcPr>
            <w:tcW w:w="1340" w:type="dxa"/>
            <w:tcBorders>
              <w:top w:val="nil"/>
              <w:left w:val="nil"/>
              <w:bottom w:val="single" w:sz="4" w:space="0" w:color="auto"/>
              <w:right w:val="single" w:sz="4" w:space="0" w:color="auto"/>
            </w:tcBorders>
            <w:shd w:val="clear" w:color="auto" w:fill="auto"/>
            <w:noWrap/>
            <w:vAlign w:val="center"/>
            <w:hideMark/>
          </w:tcPr>
          <w:p w14:paraId="4827F85D" w14:textId="77777777" w:rsidR="00A6503C" w:rsidRPr="00553AEA" w:rsidRDefault="00A6503C" w:rsidP="00553AEA">
            <w:pPr>
              <w:jc w:val="right"/>
              <w:rPr>
                <w:rFonts w:ascii="Calibri" w:hAnsi="Calibri"/>
                <w:sz w:val="20"/>
                <w:szCs w:val="20"/>
              </w:rPr>
            </w:pPr>
            <w:r w:rsidRPr="00553AEA">
              <w:rPr>
                <w:rFonts w:ascii="Calibri" w:hAnsi="Calibri"/>
                <w:sz w:val="20"/>
                <w:szCs w:val="20"/>
              </w:rPr>
              <w:t>6.903,00</w:t>
            </w:r>
          </w:p>
        </w:tc>
        <w:tc>
          <w:tcPr>
            <w:tcW w:w="1320" w:type="dxa"/>
            <w:tcBorders>
              <w:top w:val="nil"/>
              <w:left w:val="nil"/>
              <w:bottom w:val="single" w:sz="4" w:space="0" w:color="auto"/>
              <w:right w:val="single" w:sz="4" w:space="0" w:color="auto"/>
            </w:tcBorders>
            <w:shd w:val="clear" w:color="auto" w:fill="auto"/>
            <w:noWrap/>
            <w:vAlign w:val="center"/>
            <w:hideMark/>
          </w:tcPr>
          <w:p w14:paraId="406FE047"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6.903,00</w:t>
            </w:r>
          </w:p>
        </w:tc>
        <w:tc>
          <w:tcPr>
            <w:tcW w:w="1080" w:type="dxa"/>
            <w:tcBorders>
              <w:top w:val="nil"/>
              <w:left w:val="nil"/>
              <w:bottom w:val="single" w:sz="4" w:space="0" w:color="auto"/>
              <w:right w:val="single" w:sz="4" w:space="0" w:color="auto"/>
            </w:tcBorders>
            <w:shd w:val="clear" w:color="auto" w:fill="auto"/>
            <w:noWrap/>
            <w:vAlign w:val="center"/>
            <w:hideMark/>
          </w:tcPr>
          <w:p w14:paraId="1EFBCB21" w14:textId="77777777" w:rsidR="00A6503C" w:rsidRPr="00553AEA" w:rsidRDefault="00A6503C" w:rsidP="00553AEA">
            <w:pPr>
              <w:jc w:val="center"/>
              <w:rPr>
                <w:rFonts w:ascii="Calibri" w:hAnsi="Calibri"/>
                <w:sz w:val="20"/>
                <w:szCs w:val="20"/>
              </w:rPr>
            </w:pPr>
            <w:r w:rsidRPr="00553AEA">
              <w:rPr>
                <w:rFonts w:ascii="Calibri" w:hAnsi="Calibri"/>
                <w:sz w:val="20"/>
                <w:szCs w:val="20"/>
              </w:rPr>
              <w:t>100,00</w:t>
            </w:r>
          </w:p>
        </w:tc>
      </w:tr>
      <w:tr w:rsidR="00A6503C" w:rsidRPr="00553AEA" w14:paraId="74DE81D6"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C240013" w14:textId="77777777" w:rsidR="00A6503C" w:rsidRPr="00553AEA" w:rsidRDefault="00A6503C" w:rsidP="00553AEA">
            <w:pPr>
              <w:jc w:val="center"/>
              <w:rPr>
                <w:rFonts w:ascii="Calibri" w:hAnsi="Calibri"/>
                <w:sz w:val="20"/>
                <w:szCs w:val="20"/>
              </w:rPr>
            </w:pPr>
            <w:r w:rsidRPr="00553AEA">
              <w:rPr>
                <w:rFonts w:ascii="Calibri" w:hAnsi="Calibri"/>
                <w:sz w:val="20"/>
                <w:szCs w:val="20"/>
              </w:rPr>
              <w:t>6642</w:t>
            </w:r>
          </w:p>
        </w:tc>
        <w:tc>
          <w:tcPr>
            <w:tcW w:w="4320" w:type="dxa"/>
            <w:tcBorders>
              <w:top w:val="nil"/>
              <w:left w:val="nil"/>
              <w:bottom w:val="single" w:sz="4" w:space="0" w:color="auto"/>
              <w:right w:val="single" w:sz="4" w:space="0" w:color="auto"/>
            </w:tcBorders>
            <w:shd w:val="clear" w:color="auto" w:fill="auto"/>
            <w:vAlign w:val="center"/>
            <w:hideMark/>
          </w:tcPr>
          <w:p w14:paraId="4C23BDAE"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notarskih usluga</w:t>
            </w:r>
          </w:p>
        </w:tc>
        <w:tc>
          <w:tcPr>
            <w:tcW w:w="1340" w:type="dxa"/>
            <w:tcBorders>
              <w:top w:val="nil"/>
              <w:left w:val="nil"/>
              <w:bottom w:val="single" w:sz="4" w:space="0" w:color="auto"/>
              <w:right w:val="single" w:sz="4" w:space="0" w:color="auto"/>
            </w:tcBorders>
            <w:shd w:val="clear" w:color="auto" w:fill="auto"/>
            <w:noWrap/>
            <w:vAlign w:val="center"/>
            <w:hideMark/>
          </w:tcPr>
          <w:p w14:paraId="1230A1D1" w14:textId="77777777" w:rsidR="00A6503C" w:rsidRPr="00553AEA" w:rsidRDefault="00A6503C" w:rsidP="00553AEA">
            <w:pPr>
              <w:jc w:val="right"/>
              <w:rPr>
                <w:rFonts w:ascii="Calibri" w:hAnsi="Calibri"/>
                <w:sz w:val="20"/>
                <w:szCs w:val="20"/>
              </w:rPr>
            </w:pPr>
            <w:r w:rsidRPr="00553AEA">
              <w:rPr>
                <w:rFonts w:ascii="Calibri" w:hAnsi="Calibri"/>
                <w:sz w:val="20"/>
                <w:szCs w:val="20"/>
              </w:rPr>
              <w:t>800,00</w:t>
            </w:r>
          </w:p>
        </w:tc>
        <w:tc>
          <w:tcPr>
            <w:tcW w:w="1320" w:type="dxa"/>
            <w:tcBorders>
              <w:top w:val="nil"/>
              <w:left w:val="nil"/>
              <w:bottom w:val="single" w:sz="4" w:space="0" w:color="auto"/>
              <w:right w:val="single" w:sz="4" w:space="0" w:color="auto"/>
            </w:tcBorders>
            <w:shd w:val="clear" w:color="auto" w:fill="auto"/>
            <w:noWrap/>
            <w:vAlign w:val="center"/>
            <w:hideMark/>
          </w:tcPr>
          <w:p w14:paraId="6EBC8E16"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498,42</w:t>
            </w:r>
          </w:p>
        </w:tc>
        <w:tc>
          <w:tcPr>
            <w:tcW w:w="1080" w:type="dxa"/>
            <w:tcBorders>
              <w:top w:val="nil"/>
              <w:left w:val="nil"/>
              <w:bottom w:val="single" w:sz="4" w:space="0" w:color="auto"/>
              <w:right w:val="single" w:sz="4" w:space="0" w:color="auto"/>
            </w:tcBorders>
            <w:shd w:val="clear" w:color="auto" w:fill="auto"/>
            <w:noWrap/>
            <w:vAlign w:val="center"/>
            <w:hideMark/>
          </w:tcPr>
          <w:p w14:paraId="52A3E6EA" w14:textId="77777777" w:rsidR="00A6503C" w:rsidRPr="00553AEA" w:rsidRDefault="00A6503C" w:rsidP="00553AEA">
            <w:pPr>
              <w:jc w:val="center"/>
              <w:rPr>
                <w:rFonts w:ascii="Calibri" w:hAnsi="Calibri"/>
                <w:sz w:val="20"/>
                <w:szCs w:val="20"/>
              </w:rPr>
            </w:pPr>
            <w:r w:rsidRPr="00553AEA">
              <w:rPr>
                <w:rFonts w:ascii="Calibri" w:hAnsi="Calibri"/>
                <w:sz w:val="20"/>
                <w:szCs w:val="20"/>
              </w:rPr>
              <w:t>62,30</w:t>
            </w:r>
          </w:p>
        </w:tc>
      </w:tr>
      <w:tr w:rsidR="00A6503C" w:rsidRPr="00553AEA" w14:paraId="2802BA7E"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727DEFD" w14:textId="77777777" w:rsidR="00A6503C" w:rsidRPr="00553AEA" w:rsidRDefault="00A6503C" w:rsidP="00553AEA">
            <w:pPr>
              <w:jc w:val="center"/>
              <w:rPr>
                <w:rFonts w:ascii="Calibri" w:hAnsi="Calibri"/>
                <w:sz w:val="20"/>
                <w:szCs w:val="20"/>
              </w:rPr>
            </w:pPr>
            <w:r w:rsidRPr="00553AEA">
              <w:rPr>
                <w:rFonts w:ascii="Calibri" w:hAnsi="Calibri"/>
                <w:sz w:val="20"/>
                <w:szCs w:val="20"/>
              </w:rPr>
              <w:t>66420</w:t>
            </w:r>
          </w:p>
        </w:tc>
        <w:tc>
          <w:tcPr>
            <w:tcW w:w="4320" w:type="dxa"/>
            <w:tcBorders>
              <w:top w:val="nil"/>
              <w:left w:val="nil"/>
              <w:bottom w:val="single" w:sz="4" w:space="0" w:color="auto"/>
              <w:right w:val="single" w:sz="4" w:space="0" w:color="auto"/>
            </w:tcBorders>
            <w:shd w:val="clear" w:color="auto" w:fill="auto"/>
            <w:vAlign w:val="center"/>
            <w:hideMark/>
          </w:tcPr>
          <w:p w14:paraId="6FA24748"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dnevne novine</w:t>
            </w:r>
          </w:p>
        </w:tc>
        <w:tc>
          <w:tcPr>
            <w:tcW w:w="1340" w:type="dxa"/>
            <w:tcBorders>
              <w:top w:val="nil"/>
              <w:left w:val="nil"/>
              <w:bottom w:val="single" w:sz="4" w:space="0" w:color="auto"/>
              <w:right w:val="single" w:sz="4" w:space="0" w:color="auto"/>
            </w:tcBorders>
            <w:shd w:val="clear" w:color="auto" w:fill="auto"/>
            <w:noWrap/>
            <w:vAlign w:val="center"/>
            <w:hideMark/>
          </w:tcPr>
          <w:p w14:paraId="3F9577E9" w14:textId="77777777" w:rsidR="00A6503C" w:rsidRPr="00553AEA" w:rsidRDefault="00A6503C" w:rsidP="00553AEA">
            <w:pPr>
              <w:jc w:val="right"/>
              <w:rPr>
                <w:rFonts w:ascii="Calibri" w:hAnsi="Calibri"/>
                <w:sz w:val="20"/>
                <w:szCs w:val="20"/>
              </w:rPr>
            </w:pPr>
            <w:r w:rsidRPr="00553AEA">
              <w:rPr>
                <w:rFonts w:ascii="Calibri" w:hAnsi="Calibri"/>
                <w:sz w:val="20"/>
                <w:szCs w:val="20"/>
              </w:rPr>
              <w:t>1.800,00</w:t>
            </w:r>
          </w:p>
        </w:tc>
        <w:tc>
          <w:tcPr>
            <w:tcW w:w="1320" w:type="dxa"/>
            <w:tcBorders>
              <w:top w:val="nil"/>
              <w:left w:val="nil"/>
              <w:bottom w:val="single" w:sz="4" w:space="0" w:color="auto"/>
              <w:right w:val="single" w:sz="4" w:space="0" w:color="auto"/>
            </w:tcBorders>
            <w:shd w:val="clear" w:color="auto" w:fill="auto"/>
            <w:noWrap/>
            <w:vAlign w:val="center"/>
            <w:hideMark/>
          </w:tcPr>
          <w:p w14:paraId="64260F11"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757,40</w:t>
            </w:r>
          </w:p>
        </w:tc>
        <w:tc>
          <w:tcPr>
            <w:tcW w:w="1080" w:type="dxa"/>
            <w:tcBorders>
              <w:top w:val="nil"/>
              <w:left w:val="nil"/>
              <w:bottom w:val="single" w:sz="4" w:space="0" w:color="auto"/>
              <w:right w:val="single" w:sz="4" w:space="0" w:color="auto"/>
            </w:tcBorders>
            <w:shd w:val="clear" w:color="auto" w:fill="auto"/>
            <w:noWrap/>
            <w:vAlign w:val="center"/>
            <w:hideMark/>
          </w:tcPr>
          <w:p w14:paraId="231CEED2" w14:textId="77777777" w:rsidR="00A6503C" w:rsidRPr="00553AEA" w:rsidRDefault="00A6503C" w:rsidP="00553AEA">
            <w:pPr>
              <w:jc w:val="center"/>
              <w:rPr>
                <w:rFonts w:ascii="Calibri" w:hAnsi="Calibri"/>
                <w:sz w:val="20"/>
                <w:szCs w:val="20"/>
              </w:rPr>
            </w:pPr>
            <w:r w:rsidRPr="00553AEA">
              <w:rPr>
                <w:rFonts w:ascii="Calibri" w:hAnsi="Calibri"/>
                <w:sz w:val="20"/>
                <w:szCs w:val="20"/>
              </w:rPr>
              <w:t>42,08</w:t>
            </w:r>
          </w:p>
        </w:tc>
      </w:tr>
      <w:tr w:rsidR="00A6503C" w:rsidRPr="00553AEA" w14:paraId="1B1AA73B"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BB94333" w14:textId="77777777" w:rsidR="00A6503C" w:rsidRPr="00553AEA" w:rsidRDefault="00A6503C" w:rsidP="00553AEA">
            <w:pPr>
              <w:jc w:val="center"/>
              <w:rPr>
                <w:rFonts w:ascii="Calibri" w:hAnsi="Calibri"/>
                <w:sz w:val="20"/>
                <w:szCs w:val="20"/>
              </w:rPr>
            </w:pPr>
            <w:r w:rsidRPr="00553AEA">
              <w:rPr>
                <w:rFonts w:ascii="Calibri" w:hAnsi="Calibri"/>
                <w:sz w:val="20"/>
                <w:szCs w:val="20"/>
              </w:rPr>
              <w:t>66421</w:t>
            </w:r>
          </w:p>
        </w:tc>
        <w:tc>
          <w:tcPr>
            <w:tcW w:w="4320" w:type="dxa"/>
            <w:tcBorders>
              <w:top w:val="nil"/>
              <w:left w:val="nil"/>
              <w:bottom w:val="single" w:sz="4" w:space="0" w:color="auto"/>
              <w:right w:val="single" w:sz="4" w:space="0" w:color="auto"/>
            </w:tcBorders>
            <w:shd w:val="clear" w:color="auto" w:fill="auto"/>
            <w:vAlign w:val="center"/>
            <w:hideMark/>
          </w:tcPr>
          <w:p w14:paraId="5D53C3AF"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brokerske usluge</w:t>
            </w:r>
          </w:p>
        </w:tc>
        <w:tc>
          <w:tcPr>
            <w:tcW w:w="1340" w:type="dxa"/>
            <w:tcBorders>
              <w:top w:val="nil"/>
              <w:left w:val="nil"/>
              <w:bottom w:val="single" w:sz="4" w:space="0" w:color="auto"/>
              <w:right w:val="single" w:sz="4" w:space="0" w:color="auto"/>
            </w:tcBorders>
            <w:shd w:val="clear" w:color="auto" w:fill="auto"/>
            <w:noWrap/>
            <w:vAlign w:val="center"/>
            <w:hideMark/>
          </w:tcPr>
          <w:p w14:paraId="7186E757" w14:textId="77777777" w:rsidR="00A6503C" w:rsidRPr="00553AEA" w:rsidRDefault="00A6503C" w:rsidP="00553AEA">
            <w:pPr>
              <w:jc w:val="right"/>
              <w:rPr>
                <w:rFonts w:ascii="Calibri" w:hAnsi="Calibri"/>
                <w:sz w:val="20"/>
                <w:szCs w:val="20"/>
              </w:rPr>
            </w:pPr>
            <w:r w:rsidRPr="00553AEA">
              <w:rPr>
                <w:rFonts w:ascii="Calibri" w:hAnsi="Calibri"/>
                <w:sz w:val="20"/>
                <w:szCs w:val="20"/>
              </w:rPr>
              <w:t>500,00</w:t>
            </w:r>
          </w:p>
        </w:tc>
        <w:tc>
          <w:tcPr>
            <w:tcW w:w="1320" w:type="dxa"/>
            <w:tcBorders>
              <w:top w:val="nil"/>
              <w:left w:val="nil"/>
              <w:bottom w:val="single" w:sz="4" w:space="0" w:color="auto"/>
              <w:right w:val="single" w:sz="4" w:space="0" w:color="auto"/>
            </w:tcBorders>
            <w:shd w:val="clear" w:color="auto" w:fill="auto"/>
            <w:noWrap/>
            <w:vAlign w:val="center"/>
            <w:hideMark/>
          </w:tcPr>
          <w:p w14:paraId="5F65DB7B"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870,00</w:t>
            </w:r>
          </w:p>
        </w:tc>
        <w:tc>
          <w:tcPr>
            <w:tcW w:w="1080" w:type="dxa"/>
            <w:tcBorders>
              <w:top w:val="nil"/>
              <w:left w:val="nil"/>
              <w:bottom w:val="single" w:sz="4" w:space="0" w:color="auto"/>
              <w:right w:val="single" w:sz="4" w:space="0" w:color="auto"/>
            </w:tcBorders>
            <w:shd w:val="clear" w:color="auto" w:fill="auto"/>
            <w:noWrap/>
            <w:vAlign w:val="center"/>
            <w:hideMark/>
          </w:tcPr>
          <w:p w14:paraId="61A1E6A8" w14:textId="77777777" w:rsidR="00A6503C" w:rsidRPr="00553AEA" w:rsidRDefault="00A6503C" w:rsidP="00553AEA">
            <w:pPr>
              <w:jc w:val="center"/>
              <w:rPr>
                <w:rFonts w:ascii="Calibri" w:hAnsi="Calibri"/>
                <w:sz w:val="20"/>
                <w:szCs w:val="20"/>
              </w:rPr>
            </w:pPr>
            <w:r w:rsidRPr="00553AEA">
              <w:rPr>
                <w:rFonts w:ascii="Calibri" w:hAnsi="Calibri"/>
                <w:sz w:val="20"/>
                <w:szCs w:val="20"/>
              </w:rPr>
              <w:t>174,00</w:t>
            </w:r>
          </w:p>
        </w:tc>
      </w:tr>
      <w:tr w:rsidR="00A6503C" w:rsidRPr="00553AEA" w14:paraId="4117A7DD"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88E40FF" w14:textId="77777777" w:rsidR="00A6503C" w:rsidRPr="00553AEA" w:rsidRDefault="00A6503C" w:rsidP="00553AEA">
            <w:pPr>
              <w:jc w:val="center"/>
              <w:rPr>
                <w:rFonts w:ascii="Calibri" w:hAnsi="Calibri"/>
                <w:sz w:val="20"/>
                <w:szCs w:val="20"/>
              </w:rPr>
            </w:pPr>
            <w:r w:rsidRPr="00553AEA">
              <w:rPr>
                <w:rFonts w:ascii="Calibri" w:hAnsi="Calibri"/>
                <w:sz w:val="20"/>
                <w:szCs w:val="20"/>
              </w:rPr>
              <w:t>66422</w:t>
            </w:r>
          </w:p>
        </w:tc>
        <w:tc>
          <w:tcPr>
            <w:tcW w:w="4320" w:type="dxa"/>
            <w:tcBorders>
              <w:top w:val="nil"/>
              <w:left w:val="nil"/>
              <w:bottom w:val="single" w:sz="4" w:space="0" w:color="auto"/>
              <w:right w:val="single" w:sz="4" w:space="0" w:color="auto"/>
            </w:tcBorders>
            <w:shd w:val="clear" w:color="auto" w:fill="auto"/>
            <w:vAlign w:val="center"/>
            <w:hideMark/>
          </w:tcPr>
          <w:p w14:paraId="34606A2D"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elektronsko bankarstvo</w:t>
            </w:r>
          </w:p>
        </w:tc>
        <w:tc>
          <w:tcPr>
            <w:tcW w:w="1340" w:type="dxa"/>
            <w:tcBorders>
              <w:top w:val="nil"/>
              <w:left w:val="nil"/>
              <w:bottom w:val="single" w:sz="4" w:space="0" w:color="auto"/>
              <w:right w:val="single" w:sz="4" w:space="0" w:color="auto"/>
            </w:tcBorders>
            <w:shd w:val="clear" w:color="auto" w:fill="auto"/>
            <w:noWrap/>
            <w:vAlign w:val="center"/>
            <w:hideMark/>
          </w:tcPr>
          <w:p w14:paraId="71D61DA1" w14:textId="77777777" w:rsidR="00A6503C" w:rsidRPr="00553AEA" w:rsidRDefault="00A6503C" w:rsidP="00553AEA">
            <w:pPr>
              <w:jc w:val="right"/>
              <w:rPr>
                <w:rFonts w:ascii="Calibri" w:hAnsi="Calibri"/>
                <w:sz w:val="20"/>
                <w:szCs w:val="20"/>
              </w:rPr>
            </w:pPr>
            <w:r w:rsidRPr="00553AEA">
              <w:rPr>
                <w:rFonts w:ascii="Calibri" w:hAnsi="Calibri"/>
                <w:sz w:val="20"/>
                <w:szCs w:val="20"/>
              </w:rPr>
              <w:t>100,00</w:t>
            </w:r>
          </w:p>
        </w:tc>
        <w:tc>
          <w:tcPr>
            <w:tcW w:w="1320" w:type="dxa"/>
            <w:tcBorders>
              <w:top w:val="nil"/>
              <w:left w:val="nil"/>
              <w:bottom w:val="single" w:sz="4" w:space="0" w:color="auto"/>
              <w:right w:val="single" w:sz="4" w:space="0" w:color="auto"/>
            </w:tcBorders>
            <w:shd w:val="clear" w:color="auto" w:fill="auto"/>
            <w:noWrap/>
            <w:vAlign w:val="center"/>
            <w:hideMark/>
          </w:tcPr>
          <w:p w14:paraId="3E3BAF29"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14:paraId="12BB9389" w14:textId="77777777" w:rsidR="00A6503C" w:rsidRPr="00553AEA" w:rsidRDefault="00A6503C" w:rsidP="00553AEA">
            <w:pPr>
              <w:jc w:val="center"/>
              <w:rPr>
                <w:rFonts w:ascii="Calibri" w:hAnsi="Calibri"/>
                <w:sz w:val="20"/>
                <w:szCs w:val="20"/>
              </w:rPr>
            </w:pPr>
            <w:r w:rsidRPr="00553AEA">
              <w:rPr>
                <w:rFonts w:ascii="Calibri" w:hAnsi="Calibri"/>
                <w:sz w:val="20"/>
                <w:szCs w:val="20"/>
              </w:rPr>
              <w:t>0,00</w:t>
            </w:r>
          </w:p>
        </w:tc>
      </w:tr>
      <w:tr w:rsidR="00A6503C" w:rsidRPr="00553AEA" w14:paraId="370AC5E0"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38FB2DC" w14:textId="77777777" w:rsidR="00A6503C" w:rsidRPr="00553AEA" w:rsidRDefault="00A6503C" w:rsidP="00553AEA">
            <w:pPr>
              <w:jc w:val="center"/>
              <w:rPr>
                <w:rFonts w:ascii="Calibri" w:hAnsi="Calibri"/>
                <w:sz w:val="20"/>
                <w:szCs w:val="20"/>
              </w:rPr>
            </w:pPr>
            <w:r w:rsidRPr="00553AEA">
              <w:rPr>
                <w:rFonts w:ascii="Calibri" w:hAnsi="Calibri"/>
                <w:sz w:val="20"/>
                <w:szCs w:val="20"/>
              </w:rPr>
              <w:t>66423</w:t>
            </w:r>
          </w:p>
        </w:tc>
        <w:tc>
          <w:tcPr>
            <w:tcW w:w="4320" w:type="dxa"/>
            <w:tcBorders>
              <w:top w:val="nil"/>
              <w:left w:val="nil"/>
              <w:bottom w:val="single" w:sz="4" w:space="0" w:color="auto"/>
              <w:right w:val="single" w:sz="4" w:space="0" w:color="auto"/>
            </w:tcBorders>
            <w:shd w:val="clear" w:color="auto" w:fill="auto"/>
            <w:vAlign w:val="center"/>
            <w:hideMark/>
          </w:tcPr>
          <w:p w14:paraId="7ACD7923"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troškovi-sistematski pregled zaposlenih</w:t>
            </w:r>
          </w:p>
        </w:tc>
        <w:tc>
          <w:tcPr>
            <w:tcW w:w="1340" w:type="dxa"/>
            <w:tcBorders>
              <w:top w:val="nil"/>
              <w:left w:val="nil"/>
              <w:bottom w:val="single" w:sz="4" w:space="0" w:color="auto"/>
              <w:right w:val="single" w:sz="4" w:space="0" w:color="auto"/>
            </w:tcBorders>
            <w:shd w:val="clear" w:color="auto" w:fill="auto"/>
            <w:noWrap/>
            <w:vAlign w:val="center"/>
            <w:hideMark/>
          </w:tcPr>
          <w:p w14:paraId="37AD1E0A" w14:textId="77777777" w:rsidR="00A6503C" w:rsidRPr="00553AEA" w:rsidRDefault="00A6503C" w:rsidP="00553AEA">
            <w:pPr>
              <w:jc w:val="right"/>
              <w:rPr>
                <w:rFonts w:ascii="Calibri" w:hAnsi="Calibri"/>
                <w:sz w:val="20"/>
                <w:szCs w:val="20"/>
              </w:rPr>
            </w:pPr>
            <w:r w:rsidRPr="00553AEA">
              <w:rPr>
                <w:rFonts w:ascii="Calibri" w:hAnsi="Calibri"/>
                <w:sz w:val="20"/>
                <w:szCs w:val="20"/>
              </w:rPr>
              <w:t>5.500,00</w:t>
            </w:r>
          </w:p>
        </w:tc>
        <w:tc>
          <w:tcPr>
            <w:tcW w:w="1320" w:type="dxa"/>
            <w:tcBorders>
              <w:top w:val="nil"/>
              <w:left w:val="nil"/>
              <w:bottom w:val="single" w:sz="4" w:space="0" w:color="auto"/>
              <w:right w:val="single" w:sz="4" w:space="0" w:color="auto"/>
            </w:tcBorders>
            <w:shd w:val="clear" w:color="auto" w:fill="auto"/>
            <w:noWrap/>
            <w:vAlign w:val="center"/>
            <w:hideMark/>
          </w:tcPr>
          <w:p w14:paraId="076635E3"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3.785,00</w:t>
            </w:r>
          </w:p>
        </w:tc>
        <w:tc>
          <w:tcPr>
            <w:tcW w:w="1080" w:type="dxa"/>
            <w:tcBorders>
              <w:top w:val="nil"/>
              <w:left w:val="nil"/>
              <w:bottom w:val="single" w:sz="4" w:space="0" w:color="auto"/>
              <w:right w:val="single" w:sz="4" w:space="0" w:color="auto"/>
            </w:tcBorders>
            <w:shd w:val="clear" w:color="auto" w:fill="auto"/>
            <w:noWrap/>
            <w:vAlign w:val="center"/>
            <w:hideMark/>
          </w:tcPr>
          <w:p w14:paraId="772DE72E" w14:textId="77777777" w:rsidR="00A6503C" w:rsidRPr="00553AEA" w:rsidRDefault="00A6503C" w:rsidP="00553AEA">
            <w:pPr>
              <w:jc w:val="center"/>
              <w:rPr>
                <w:rFonts w:ascii="Calibri" w:hAnsi="Calibri"/>
                <w:sz w:val="20"/>
                <w:szCs w:val="20"/>
              </w:rPr>
            </w:pPr>
            <w:r w:rsidRPr="00553AEA">
              <w:rPr>
                <w:rFonts w:ascii="Calibri" w:hAnsi="Calibri"/>
                <w:sz w:val="20"/>
                <w:szCs w:val="20"/>
              </w:rPr>
              <w:t>68,82</w:t>
            </w:r>
          </w:p>
        </w:tc>
      </w:tr>
      <w:tr w:rsidR="00A6503C" w:rsidRPr="00553AEA" w14:paraId="2EA2F085"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355E716" w14:textId="77777777" w:rsidR="00A6503C" w:rsidRPr="00553AEA" w:rsidRDefault="00A6503C" w:rsidP="00553AEA">
            <w:pPr>
              <w:jc w:val="center"/>
              <w:rPr>
                <w:rFonts w:ascii="Calibri" w:hAnsi="Calibri"/>
                <w:sz w:val="20"/>
                <w:szCs w:val="20"/>
              </w:rPr>
            </w:pPr>
            <w:r w:rsidRPr="00553AEA">
              <w:rPr>
                <w:rFonts w:ascii="Calibri" w:hAnsi="Calibri"/>
                <w:sz w:val="20"/>
                <w:szCs w:val="20"/>
              </w:rPr>
              <w:t>66424</w:t>
            </w:r>
          </w:p>
        </w:tc>
        <w:tc>
          <w:tcPr>
            <w:tcW w:w="4320" w:type="dxa"/>
            <w:tcBorders>
              <w:top w:val="nil"/>
              <w:left w:val="nil"/>
              <w:bottom w:val="single" w:sz="4" w:space="0" w:color="auto"/>
              <w:right w:val="single" w:sz="4" w:space="0" w:color="auto"/>
            </w:tcBorders>
            <w:shd w:val="clear" w:color="auto" w:fill="auto"/>
            <w:vAlign w:val="center"/>
            <w:hideMark/>
          </w:tcPr>
          <w:p w14:paraId="018F0020"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naknada za pristup CRK</w:t>
            </w:r>
          </w:p>
        </w:tc>
        <w:tc>
          <w:tcPr>
            <w:tcW w:w="1340" w:type="dxa"/>
            <w:tcBorders>
              <w:top w:val="nil"/>
              <w:left w:val="nil"/>
              <w:bottom w:val="single" w:sz="4" w:space="0" w:color="auto"/>
              <w:right w:val="single" w:sz="4" w:space="0" w:color="auto"/>
            </w:tcBorders>
            <w:shd w:val="clear" w:color="auto" w:fill="auto"/>
            <w:noWrap/>
            <w:vAlign w:val="center"/>
            <w:hideMark/>
          </w:tcPr>
          <w:p w14:paraId="660489E3" w14:textId="77777777" w:rsidR="00A6503C" w:rsidRPr="00553AEA" w:rsidRDefault="00A6503C" w:rsidP="00553AEA">
            <w:pPr>
              <w:jc w:val="right"/>
              <w:rPr>
                <w:rFonts w:ascii="Calibri" w:hAnsi="Calibri"/>
                <w:sz w:val="20"/>
                <w:szCs w:val="20"/>
              </w:rPr>
            </w:pPr>
            <w:r w:rsidRPr="00553AEA">
              <w:rPr>
                <w:rFonts w:ascii="Calibri" w:hAnsi="Calibri"/>
                <w:sz w:val="20"/>
                <w:szCs w:val="20"/>
              </w:rPr>
              <w:t>100,00</w:t>
            </w:r>
          </w:p>
        </w:tc>
        <w:tc>
          <w:tcPr>
            <w:tcW w:w="1320" w:type="dxa"/>
            <w:tcBorders>
              <w:top w:val="nil"/>
              <w:left w:val="nil"/>
              <w:bottom w:val="single" w:sz="4" w:space="0" w:color="auto"/>
              <w:right w:val="single" w:sz="4" w:space="0" w:color="auto"/>
            </w:tcBorders>
            <w:shd w:val="clear" w:color="auto" w:fill="auto"/>
            <w:noWrap/>
            <w:vAlign w:val="center"/>
            <w:hideMark/>
          </w:tcPr>
          <w:p w14:paraId="572AC77F" w14:textId="77777777" w:rsidR="00A6503C" w:rsidRPr="00553AEA" w:rsidRDefault="00A6503C" w:rsidP="00553AEA">
            <w:pPr>
              <w:jc w:val="right"/>
              <w:rPr>
                <w:rFonts w:ascii="Calibri" w:hAnsi="Calibri"/>
                <w:color w:val="auto"/>
                <w:sz w:val="22"/>
                <w:szCs w:val="22"/>
              </w:rPr>
            </w:pPr>
            <w:r w:rsidRPr="00553AEA">
              <w:rPr>
                <w:rFonts w:ascii="Calibri" w:hAnsi="Calibri"/>
                <w:color w:val="auto"/>
                <w:sz w:val="22"/>
                <w:szCs w:val="22"/>
              </w:rPr>
              <w:t>0,00</w:t>
            </w:r>
          </w:p>
        </w:tc>
        <w:tc>
          <w:tcPr>
            <w:tcW w:w="1080" w:type="dxa"/>
            <w:tcBorders>
              <w:top w:val="nil"/>
              <w:left w:val="nil"/>
              <w:bottom w:val="single" w:sz="4" w:space="0" w:color="auto"/>
              <w:right w:val="single" w:sz="4" w:space="0" w:color="auto"/>
            </w:tcBorders>
            <w:shd w:val="clear" w:color="auto" w:fill="auto"/>
            <w:noWrap/>
            <w:vAlign w:val="center"/>
            <w:hideMark/>
          </w:tcPr>
          <w:p w14:paraId="1F342602" w14:textId="77777777" w:rsidR="00A6503C" w:rsidRPr="00553AEA" w:rsidRDefault="00A6503C" w:rsidP="00553AEA">
            <w:pPr>
              <w:jc w:val="center"/>
              <w:rPr>
                <w:rFonts w:ascii="Calibri" w:hAnsi="Calibri"/>
                <w:sz w:val="20"/>
                <w:szCs w:val="20"/>
              </w:rPr>
            </w:pPr>
            <w:r w:rsidRPr="00553AEA">
              <w:rPr>
                <w:rFonts w:ascii="Calibri" w:hAnsi="Calibri"/>
                <w:sz w:val="20"/>
                <w:szCs w:val="20"/>
              </w:rPr>
              <w:t>0,00</w:t>
            </w:r>
          </w:p>
        </w:tc>
      </w:tr>
      <w:tr w:rsidR="00A6503C" w:rsidRPr="00553AEA" w14:paraId="45673211"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BF1F755" w14:textId="77777777" w:rsidR="00A6503C" w:rsidRPr="00553AEA" w:rsidRDefault="00A6503C" w:rsidP="00553AEA">
            <w:pPr>
              <w:jc w:val="center"/>
              <w:rPr>
                <w:rFonts w:ascii="Calibri" w:hAnsi="Calibri"/>
                <w:sz w:val="20"/>
                <w:szCs w:val="20"/>
              </w:rPr>
            </w:pPr>
            <w:r w:rsidRPr="00553AEA">
              <w:rPr>
                <w:rFonts w:ascii="Calibri" w:hAnsi="Calibri"/>
                <w:sz w:val="20"/>
                <w:szCs w:val="20"/>
              </w:rPr>
              <w:t>66425</w:t>
            </w:r>
          </w:p>
        </w:tc>
        <w:tc>
          <w:tcPr>
            <w:tcW w:w="4320" w:type="dxa"/>
            <w:tcBorders>
              <w:top w:val="nil"/>
              <w:left w:val="nil"/>
              <w:bottom w:val="single" w:sz="4" w:space="0" w:color="auto"/>
              <w:right w:val="single" w:sz="4" w:space="0" w:color="auto"/>
            </w:tcBorders>
            <w:shd w:val="clear" w:color="auto" w:fill="auto"/>
            <w:vAlign w:val="center"/>
            <w:hideMark/>
          </w:tcPr>
          <w:p w14:paraId="4CAA49A0"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članarina AECM</w:t>
            </w:r>
          </w:p>
        </w:tc>
        <w:tc>
          <w:tcPr>
            <w:tcW w:w="1340" w:type="dxa"/>
            <w:tcBorders>
              <w:top w:val="nil"/>
              <w:left w:val="nil"/>
              <w:bottom w:val="single" w:sz="4" w:space="0" w:color="auto"/>
              <w:right w:val="single" w:sz="4" w:space="0" w:color="auto"/>
            </w:tcBorders>
            <w:shd w:val="clear" w:color="auto" w:fill="auto"/>
            <w:noWrap/>
            <w:vAlign w:val="center"/>
            <w:hideMark/>
          </w:tcPr>
          <w:p w14:paraId="3BD75F7C" w14:textId="77777777" w:rsidR="00A6503C" w:rsidRPr="00553AEA" w:rsidRDefault="00A6503C" w:rsidP="00553AEA">
            <w:pPr>
              <w:jc w:val="right"/>
              <w:rPr>
                <w:rFonts w:ascii="Calibri" w:hAnsi="Calibri"/>
                <w:sz w:val="20"/>
                <w:szCs w:val="20"/>
              </w:rPr>
            </w:pPr>
            <w:r w:rsidRPr="00553AEA">
              <w:rPr>
                <w:rFonts w:ascii="Calibri" w:hAnsi="Calibri"/>
                <w:sz w:val="20"/>
                <w:szCs w:val="20"/>
              </w:rPr>
              <w:t>11.000,00</w:t>
            </w:r>
          </w:p>
        </w:tc>
        <w:tc>
          <w:tcPr>
            <w:tcW w:w="1320" w:type="dxa"/>
            <w:tcBorders>
              <w:top w:val="nil"/>
              <w:left w:val="nil"/>
              <w:bottom w:val="single" w:sz="4" w:space="0" w:color="auto"/>
              <w:right w:val="single" w:sz="4" w:space="0" w:color="auto"/>
            </w:tcBorders>
            <w:shd w:val="clear" w:color="auto" w:fill="auto"/>
            <w:noWrap/>
            <w:vAlign w:val="center"/>
            <w:hideMark/>
          </w:tcPr>
          <w:p w14:paraId="5076E226"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10.759,02</w:t>
            </w:r>
          </w:p>
        </w:tc>
        <w:tc>
          <w:tcPr>
            <w:tcW w:w="1080" w:type="dxa"/>
            <w:tcBorders>
              <w:top w:val="nil"/>
              <w:left w:val="nil"/>
              <w:bottom w:val="single" w:sz="4" w:space="0" w:color="auto"/>
              <w:right w:val="single" w:sz="4" w:space="0" w:color="auto"/>
            </w:tcBorders>
            <w:shd w:val="clear" w:color="auto" w:fill="auto"/>
            <w:noWrap/>
            <w:vAlign w:val="center"/>
            <w:hideMark/>
          </w:tcPr>
          <w:p w14:paraId="7BCEBE4B" w14:textId="77777777" w:rsidR="00A6503C" w:rsidRPr="00553AEA" w:rsidRDefault="00A6503C" w:rsidP="00553AEA">
            <w:pPr>
              <w:jc w:val="center"/>
              <w:rPr>
                <w:rFonts w:ascii="Calibri" w:hAnsi="Calibri"/>
                <w:sz w:val="20"/>
                <w:szCs w:val="20"/>
              </w:rPr>
            </w:pPr>
            <w:r w:rsidRPr="00553AEA">
              <w:rPr>
                <w:rFonts w:ascii="Calibri" w:hAnsi="Calibri"/>
                <w:sz w:val="20"/>
                <w:szCs w:val="20"/>
              </w:rPr>
              <w:t>97,81</w:t>
            </w:r>
          </w:p>
        </w:tc>
      </w:tr>
      <w:tr w:rsidR="00A6503C" w:rsidRPr="00553AEA" w14:paraId="460D2D8C"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2F88288" w14:textId="77777777" w:rsidR="00A6503C" w:rsidRPr="00553AEA" w:rsidRDefault="00A6503C" w:rsidP="00553AEA">
            <w:pPr>
              <w:jc w:val="center"/>
              <w:rPr>
                <w:rFonts w:ascii="Calibri" w:hAnsi="Calibri"/>
                <w:sz w:val="20"/>
                <w:szCs w:val="20"/>
              </w:rPr>
            </w:pPr>
            <w:r w:rsidRPr="00553AEA">
              <w:rPr>
                <w:rFonts w:ascii="Calibri" w:hAnsi="Calibri"/>
                <w:sz w:val="20"/>
                <w:szCs w:val="20"/>
              </w:rPr>
              <w:t>66436</w:t>
            </w:r>
          </w:p>
        </w:tc>
        <w:tc>
          <w:tcPr>
            <w:tcW w:w="4320" w:type="dxa"/>
            <w:tcBorders>
              <w:top w:val="nil"/>
              <w:left w:val="nil"/>
              <w:bottom w:val="single" w:sz="4" w:space="0" w:color="auto"/>
              <w:right w:val="single" w:sz="4" w:space="0" w:color="auto"/>
            </w:tcBorders>
            <w:shd w:val="clear" w:color="auto" w:fill="auto"/>
            <w:vAlign w:val="center"/>
            <w:hideMark/>
          </w:tcPr>
          <w:p w14:paraId="32B45268"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članarina Zeleni navigator</w:t>
            </w:r>
          </w:p>
        </w:tc>
        <w:tc>
          <w:tcPr>
            <w:tcW w:w="1340" w:type="dxa"/>
            <w:tcBorders>
              <w:top w:val="nil"/>
              <w:left w:val="nil"/>
              <w:bottom w:val="single" w:sz="4" w:space="0" w:color="auto"/>
              <w:right w:val="single" w:sz="4" w:space="0" w:color="auto"/>
            </w:tcBorders>
            <w:shd w:val="clear" w:color="auto" w:fill="auto"/>
            <w:noWrap/>
            <w:vAlign w:val="center"/>
            <w:hideMark/>
          </w:tcPr>
          <w:p w14:paraId="4ACA1FB2" w14:textId="77777777" w:rsidR="00A6503C" w:rsidRPr="00553AEA" w:rsidRDefault="00A6503C" w:rsidP="00553AEA">
            <w:pPr>
              <w:jc w:val="right"/>
              <w:rPr>
                <w:rFonts w:ascii="Calibri" w:hAnsi="Calibri"/>
                <w:sz w:val="20"/>
                <w:szCs w:val="20"/>
              </w:rPr>
            </w:pPr>
            <w:r w:rsidRPr="00553AEA">
              <w:rPr>
                <w:rFonts w:ascii="Calibri" w:hAnsi="Calibri"/>
                <w:sz w:val="20"/>
                <w:szCs w:val="20"/>
              </w:rPr>
              <w:t>20.000,00</w:t>
            </w:r>
          </w:p>
        </w:tc>
        <w:tc>
          <w:tcPr>
            <w:tcW w:w="1320" w:type="dxa"/>
            <w:tcBorders>
              <w:top w:val="nil"/>
              <w:left w:val="nil"/>
              <w:bottom w:val="single" w:sz="4" w:space="0" w:color="auto"/>
              <w:right w:val="single" w:sz="4" w:space="0" w:color="auto"/>
            </w:tcBorders>
            <w:shd w:val="clear" w:color="auto" w:fill="auto"/>
            <w:noWrap/>
            <w:vAlign w:val="center"/>
            <w:hideMark/>
          </w:tcPr>
          <w:p w14:paraId="472EC72E"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19.558,30</w:t>
            </w:r>
          </w:p>
        </w:tc>
        <w:tc>
          <w:tcPr>
            <w:tcW w:w="1080" w:type="dxa"/>
            <w:tcBorders>
              <w:top w:val="nil"/>
              <w:left w:val="nil"/>
              <w:bottom w:val="single" w:sz="4" w:space="0" w:color="auto"/>
              <w:right w:val="single" w:sz="4" w:space="0" w:color="auto"/>
            </w:tcBorders>
            <w:shd w:val="clear" w:color="auto" w:fill="auto"/>
            <w:noWrap/>
            <w:vAlign w:val="center"/>
            <w:hideMark/>
          </w:tcPr>
          <w:p w14:paraId="689C0F8B" w14:textId="77777777" w:rsidR="00A6503C" w:rsidRPr="00553AEA" w:rsidRDefault="00A6503C" w:rsidP="00553AEA">
            <w:pPr>
              <w:jc w:val="center"/>
              <w:rPr>
                <w:rFonts w:ascii="Calibri" w:hAnsi="Calibri"/>
                <w:sz w:val="20"/>
                <w:szCs w:val="20"/>
              </w:rPr>
            </w:pPr>
            <w:r w:rsidRPr="00553AEA">
              <w:rPr>
                <w:rFonts w:ascii="Calibri" w:hAnsi="Calibri"/>
                <w:sz w:val="20"/>
                <w:szCs w:val="20"/>
              </w:rPr>
              <w:t>97,79</w:t>
            </w:r>
          </w:p>
        </w:tc>
      </w:tr>
      <w:tr w:rsidR="00A6503C" w:rsidRPr="00553AEA" w14:paraId="24867F42"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2993CD7" w14:textId="77777777" w:rsidR="00A6503C" w:rsidRPr="00553AEA" w:rsidRDefault="00A6503C" w:rsidP="00553AEA">
            <w:pPr>
              <w:jc w:val="center"/>
              <w:rPr>
                <w:rFonts w:ascii="Calibri" w:hAnsi="Calibri"/>
                <w:sz w:val="20"/>
                <w:szCs w:val="20"/>
              </w:rPr>
            </w:pPr>
            <w:r w:rsidRPr="00553AEA">
              <w:rPr>
                <w:rFonts w:ascii="Calibri" w:hAnsi="Calibri"/>
                <w:sz w:val="20"/>
                <w:szCs w:val="20"/>
              </w:rPr>
              <w:t>66437</w:t>
            </w:r>
          </w:p>
        </w:tc>
        <w:tc>
          <w:tcPr>
            <w:tcW w:w="4320" w:type="dxa"/>
            <w:tcBorders>
              <w:top w:val="nil"/>
              <w:left w:val="nil"/>
              <w:bottom w:val="single" w:sz="4" w:space="0" w:color="auto"/>
              <w:right w:val="single" w:sz="4" w:space="0" w:color="auto"/>
            </w:tcBorders>
            <w:shd w:val="clear" w:color="auto" w:fill="auto"/>
            <w:vAlign w:val="center"/>
            <w:hideMark/>
          </w:tcPr>
          <w:p w14:paraId="4BBFA393"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Nematerijali troškovi - uništavanje dokumentacije</w:t>
            </w:r>
          </w:p>
        </w:tc>
        <w:tc>
          <w:tcPr>
            <w:tcW w:w="1340" w:type="dxa"/>
            <w:tcBorders>
              <w:top w:val="nil"/>
              <w:left w:val="nil"/>
              <w:bottom w:val="single" w:sz="4" w:space="0" w:color="auto"/>
              <w:right w:val="single" w:sz="4" w:space="0" w:color="auto"/>
            </w:tcBorders>
            <w:shd w:val="clear" w:color="auto" w:fill="auto"/>
            <w:noWrap/>
            <w:vAlign w:val="center"/>
            <w:hideMark/>
          </w:tcPr>
          <w:p w14:paraId="11F32356" w14:textId="77777777" w:rsidR="00A6503C" w:rsidRPr="00553AEA" w:rsidRDefault="00A6503C" w:rsidP="00553AEA">
            <w:pPr>
              <w:jc w:val="right"/>
              <w:rPr>
                <w:rFonts w:ascii="Calibri" w:hAnsi="Calibri"/>
                <w:sz w:val="20"/>
                <w:szCs w:val="20"/>
              </w:rPr>
            </w:pPr>
            <w:r w:rsidRPr="00553AEA">
              <w:rPr>
                <w:rFonts w:ascii="Calibri" w:hAnsi="Calibri"/>
                <w:sz w:val="20"/>
                <w:szCs w:val="20"/>
              </w:rPr>
              <w:t>300,00</w:t>
            </w:r>
          </w:p>
        </w:tc>
        <w:tc>
          <w:tcPr>
            <w:tcW w:w="1320" w:type="dxa"/>
            <w:tcBorders>
              <w:top w:val="nil"/>
              <w:left w:val="nil"/>
              <w:bottom w:val="single" w:sz="4" w:space="0" w:color="auto"/>
              <w:right w:val="single" w:sz="4" w:space="0" w:color="auto"/>
            </w:tcBorders>
            <w:shd w:val="clear" w:color="auto" w:fill="auto"/>
            <w:noWrap/>
            <w:vAlign w:val="center"/>
            <w:hideMark/>
          </w:tcPr>
          <w:p w14:paraId="379F580F" w14:textId="77777777" w:rsidR="00A6503C" w:rsidRPr="00553AEA" w:rsidRDefault="00A6503C" w:rsidP="00553AEA">
            <w:pPr>
              <w:jc w:val="right"/>
              <w:rPr>
                <w:rFonts w:ascii="Calibri" w:hAnsi="Calibri"/>
                <w:color w:val="FF0000"/>
                <w:sz w:val="20"/>
                <w:szCs w:val="20"/>
              </w:rPr>
            </w:pPr>
            <w:r w:rsidRPr="00553AEA">
              <w:rPr>
                <w:rFonts w:ascii="Calibri" w:hAnsi="Calibri"/>
                <w:color w:val="FF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020BAA" w14:textId="77777777" w:rsidR="00A6503C" w:rsidRPr="00553AEA" w:rsidRDefault="00A6503C" w:rsidP="00553AEA">
            <w:pPr>
              <w:jc w:val="center"/>
              <w:rPr>
                <w:rFonts w:ascii="Calibri" w:hAnsi="Calibri"/>
                <w:sz w:val="20"/>
                <w:szCs w:val="20"/>
              </w:rPr>
            </w:pPr>
            <w:r w:rsidRPr="00553AEA">
              <w:rPr>
                <w:rFonts w:ascii="Calibri" w:hAnsi="Calibri"/>
                <w:sz w:val="20"/>
                <w:szCs w:val="20"/>
              </w:rPr>
              <w:t>0,00</w:t>
            </w:r>
          </w:p>
        </w:tc>
      </w:tr>
      <w:tr w:rsidR="00A6503C" w:rsidRPr="00553AEA" w14:paraId="0A400827"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6CCBC40" w14:textId="77777777" w:rsidR="00A6503C" w:rsidRPr="00553AEA" w:rsidRDefault="00A6503C" w:rsidP="00553AEA">
            <w:pPr>
              <w:jc w:val="center"/>
              <w:rPr>
                <w:rFonts w:ascii="Calibri" w:hAnsi="Calibri"/>
                <w:color w:val="auto"/>
                <w:sz w:val="20"/>
                <w:szCs w:val="20"/>
              </w:rPr>
            </w:pPr>
            <w:r w:rsidRPr="00553AEA">
              <w:rPr>
                <w:rFonts w:ascii="Calibri" w:hAnsi="Calibri"/>
                <w:color w:val="auto"/>
                <w:sz w:val="20"/>
                <w:szCs w:val="20"/>
              </w:rPr>
              <w:t>66427</w:t>
            </w:r>
          </w:p>
        </w:tc>
        <w:tc>
          <w:tcPr>
            <w:tcW w:w="4320" w:type="dxa"/>
            <w:tcBorders>
              <w:top w:val="nil"/>
              <w:left w:val="nil"/>
              <w:bottom w:val="single" w:sz="4" w:space="0" w:color="auto"/>
              <w:right w:val="single" w:sz="4" w:space="0" w:color="auto"/>
            </w:tcBorders>
            <w:shd w:val="clear" w:color="auto" w:fill="auto"/>
            <w:vAlign w:val="center"/>
            <w:hideMark/>
          </w:tcPr>
          <w:p w14:paraId="075EC2B6" w14:textId="77777777" w:rsidR="00A6503C" w:rsidRPr="00553AEA" w:rsidRDefault="00A6503C" w:rsidP="00553AEA">
            <w:pPr>
              <w:jc w:val="left"/>
              <w:rPr>
                <w:rFonts w:ascii="Calibri" w:hAnsi="Calibri"/>
                <w:color w:val="auto"/>
                <w:sz w:val="20"/>
                <w:szCs w:val="20"/>
              </w:rPr>
            </w:pPr>
            <w:r w:rsidRPr="00553AEA">
              <w:rPr>
                <w:rFonts w:ascii="Calibri" w:hAnsi="Calibri"/>
                <w:color w:val="auto"/>
                <w:sz w:val="20"/>
                <w:szCs w:val="20"/>
              </w:rPr>
              <w:t>Nematerijalni troškovi -APIF</w:t>
            </w:r>
          </w:p>
        </w:tc>
        <w:tc>
          <w:tcPr>
            <w:tcW w:w="1340" w:type="dxa"/>
            <w:tcBorders>
              <w:top w:val="nil"/>
              <w:left w:val="nil"/>
              <w:bottom w:val="single" w:sz="4" w:space="0" w:color="auto"/>
              <w:right w:val="single" w:sz="4" w:space="0" w:color="auto"/>
            </w:tcBorders>
            <w:shd w:val="clear" w:color="auto" w:fill="auto"/>
            <w:noWrap/>
            <w:vAlign w:val="center"/>
            <w:hideMark/>
          </w:tcPr>
          <w:p w14:paraId="59608354"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180,00</w:t>
            </w:r>
          </w:p>
        </w:tc>
        <w:tc>
          <w:tcPr>
            <w:tcW w:w="1320" w:type="dxa"/>
            <w:tcBorders>
              <w:top w:val="nil"/>
              <w:left w:val="nil"/>
              <w:bottom w:val="single" w:sz="4" w:space="0" w:color="auto"/>
              <w:right w:val="single" w:sz="4" w:space="0" w:color="auto"/>
            </w:tcBorders>
            <w:shd w:val="clear" w:color="auto" w:fill="auto"/>
            <w:noWrap/>
            <w:vAlign w:val="center"/>
            <w:hideMark/>
          </w:tcPr>
          <w:p w14:paraId="669B04BB"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403,65</w:t>
            </w:r>
          </w:p>
        </w:tc>
        <w:tc>
          <w:tcPr>
            <w:tcW w:w="1080" w:type="dxa"/>
            <w:tcBorders>
              <w:top w:val="nil"/>
              <w:left w:val="nil"/>
              <w:bottom w:val="single" w:sz="4" w:space="0" w:color="auto"/>
              <w:right w:val="single" w:sz="4" w:space="0" w:color="auto"/>
            </w:tcBorders>
            <w:shd w:val="clear" w:color="auto" w:fill="auto"/>
            <w:noWrap/>
            <w:vAlign w:val="center"/>
            <w:hideMark/>
          </w:tcPr>
          <w:p w14:paraId="64116441" w14:textId="77777777" w:rsidR="00A6503C" w:rsidRPr="00553AEA" w:rsidRDefault="00A6503C" w:rsidP="00553AEA">
            <w:pPr>
              <w:jc w:val="center"/>
              <w:rPr>
                <w:rFonts w:ascii="Calibri" w:hAnsi="Calibri"/>
                <w:sz w:val="20"/>
                <w:szCs w:val="20"/>
              </w:rPr>
            </w:pPr>
            <w:r w:rsidRPr="00553AEA">
              <w:rPr>
                <w:rFonts w:ascii="Calibri" w:hAnsi="Calibri"/>
                <w:sz w:val="20"/>
                <w:szCs w:val="20"/>
              </w:rPr>
              <w:t>224,25</w:t>
            </w:r>
          </w:p>
        </w:tc>
      </w:tr>
      <w:tr w:rsidR="00A6503C" w:rsidRPr="00553AEA" w14:paraId="70F52B9E"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5858148" w14:textId="77777777" w:rsidR="00A6503C" w:rsidRPr="00553AEA" w:rsidRDefault="00A6503C" w:rsidP="00553AEA">
            <w:pPr>
              <w:jc w:val="center"/>
              <w:rPr>
                <w:rFonts w:ascii="Calibri" w:hAnsi="Calibri"/>
                <w:sz w:val="20"/>
                <w:szCs w:val="20"/>
              </w:rPr>
            </w:pPr>
            <w:r w:rsidRPr="00553AEA">
              <w:rPr>
                <w:rFonts w:ascii="Calibri" w:hAnsi="Calibri"/>
                <w:sz w:val="20"/>
                <w:szCs w:val="20"/>
              </w:rPr>
              <w:t>66430</w:t>
            </w:r>
          </w:p>
        </w:tc>
        <w:tc>
          <w:tcPr>
            <w:tcW w:w="4320" w:type="dxa"/>
            <w:tcBorders>
              <w:top w:val="nil"/>
              <w:left w:val="nil"/>
              <w:bottom w:val="single" w:sz="4" w:space="0" w:color="auto"/>
              <w:right w:val="single" w:sz="4" w:space="0" w:color="auto"/>
            </w:tcBorders>
            <w:shd w:val="clear" w:color="auto" w:fill="auto"/>
            <w:vAlign w:val="center"/>
            <w:hideMark/>
          </w:tcPr>
          <w:p w14:paraId="7DBD7B13"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 konferencijski i okrugli stolovi GF po protokolu</w:t>
            </w:r>
          </w:p>
        </w:tc>
        <w:tc>
          <w:tcPr>
            <w:tcW w:w="1340" w:type="dxa"/>
            <w:tcBorders>
              <w:top w:val="nil"/>
              <w:left w:val="nil"/>
              <w:bottom w:val="single" w:sz="4" w:space="0" w:color="auto"/>
              <w:right w:val="single" w:sz="4" w:space="0" w:color="auto"/>
            </w:tcBorders>
            <w:shd w:val="clear" w:color="auto" w:fill="auto"/>
            <w:noWrap/>
            <w:vAlign w:val="center"/>
            <w:hideMark/>
          </w:tcPr>
          <w:p w14:paraId="69277286" w14:textId="77777777" w:rsidR="00A6503C" w:rsidRPr="00553AEA" w:rsidRDefault="00A6503C" w:rsidP="00553AEA">
            <w:pPr>
              <w:jc w:val="right"/>
              <w:rPr>
                <w:rFonts w:ascii="Calibri" w:hAnsi="Calibri"/>
                <w:sz w:val="20"/>
                <w:szCs w:val="20"/>
              </w:rPr>
            </w:pPr>
            <w:r w:rsidRPr="00553AEA">
              <w:rPr>
                <w:rFonts w:ascii="Calibri" w:hAnsi="Calibri"/>
                <w:sz w:val="20"/>
                <w:szCs w:val="20"/>
              </w:rPr>
              <w:t>4.500,00</w:t>
            </w:r>
          </w:p>
        </w:tc>
        <w:tc>
          <w:tcPr>
            <w:tcW w:w="1320" w:type="dxa"/>
            <w:tcBorders>
              <w:top w:val="nil"/>
              <w:left w:val="nil"/>
              <w:bottom w:val="single" w:sz="4" w:space="0" w:color="auto"/>
              <w:right w:val="single" w:sz="4" w:space="0" w:color="auto"/>
            </w:tcBorders>
            <w:shd w:val="clear" w:color="auto" w:fill="auto"/>
            <w:noWrap/>
            <w:vAlign w:val="center"/>
            <w:hideMark/>
          </w:tcPr>
          <w:p w14:paraId="29616ACE"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1.651,80</w:t>
            </w:r>
          </w:p>
        </w:tc>
        <w:tc>
          <w:tcPr>
            <w:tcW w:w="1080" w:type="dxa"/>
            <w:tcBorders>
              <w:top w:val="nil"/>
              <w:left w:val="nil"/>
              <w:bottom w:val="single" w:sz="4" w:space="0" w:color="auto"/>
              <w:right w:val="single" w:sz="4" w:space="0" w:color="auto"/>
            </w:tcBorders>
            <w:shd w:val="clear" w:color="auto" w:fill="auto"/>
            <w:noWrap/>
            <w:vAlign w:val="center"/>
            <w:hideMark/>
          </w:tcPr>
          <w:p w14:paraId="194B186F"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30BBAEBE"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8974FAD" w14:textId="77777777" w:rsidR="00A6503C" w:rsidRPr="00553AEA" w:rsidRDefault="00A6503C" w:rsidP="00553AEA">
            <w:pPr>
              <w:jc w:val="center"/>
              <w:rPr>
                <w:rFonts w:ascii="Calibri" w:hAnsi="Calibri"/>
                <w:sz w:val="20"/>
                <w:szCs w:val="20"/>
              </w:rPr>
            </w:pPr>
            <w:r w:rsidRPr="00553AEA">
              <w:rPr>
                <w:rFonts w:ascii="Calibri" w:hAnsi="Calibri"/>
                <w:sz w:val="20"/>
                <w:szCs w:val="20"/>
              </w:rPr>
              <w:t>6643</w:t>
            </w:r>
          </w:p>
        </w:tc>
        <w:tc>
          <w:tcPr>
            <w:tcW w:w="4320" w:type="dxa"/>
            <w:tcBorders>
              <w:top w:val="nil"/>
              <w:left w:val="nil"/>
              <w:bottom w:val="single" w:sz="4" w:space="0" w:color="auto"/>
              <w:right w:val="single" w:sz="4" w:space="0" w:color="auto"/>
            </w:tcBorders>
            <w:shd w:val="clear" w:color="auto" w:fill="auto"/>
            <w:vAlign w:val="center"/>
            <w:hideMark/>
          </w:tcPr>
          <w:p w14:paraId="2FD85C51"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premije osiguranja radnika</w:t>
            </w:r>
          </w:p>
        </w:tc>
        <w:tc>
          <w:tcPr>
            <w:tcW w:w="1340" w:type="dxa"/>
            <w:tcBorders>
              <w:top w:val="nil"/>
              <w:left w:val="nil"/>
              <w:bottom w:val="single" w:sz="4" w:space="0" w:color="auto"/>
              <w:right w:val="single" w:sz="4" w:space="0" w:color="auto"/>
            </w:tcBorders>
            <w:shd w:val="clear" w:color="auto" w:fill="auto"/>
            <w:noWrap/>
            <w:vAlign w:val="center"/>
            <w:hideMark/>
          </w:tcPr>
          <w:p w14:paraId="1A5A594F" w14:textId="77777777" w:rsidR="00A6503C" w:rsidRPr="00553AEA" w:rsidRDefault="00A6503C" w:rsidP="00553AEA">
            <w:pPr>
              <w:jc w:val="right"/>
              <w:rPr>
                <w:rFonts w:ascii="Calibri" w:hAnsi="Calibri"/>
                <w:sz w:val="20"/>
                <w:szCs w:val="20"/>
              </w:rPr>
            </w:pPr>
            <w:r w:rsidRPr="00553AEA">
              <w:rPr>
                <w:rFonts w:ascii="Calibri" w:hAnsi="Calibri"/>
                <w:sz w:val="20"/>
                <w:szCs w:val="20"/>
              </w:rPr>
              <w:t>900,00</w:t>
            </w:r>
          </w:p>
        </w:tc>
        <w:tc>
          <w:tcPr>
            <w:tcW w:w="1320" w:type="dxa"/>
            <w:tcBorders>
              <w:top w:val="nil"/>
              <w:left w:val="nil"/>
              <w:bottom w:val="single" w:sz="4" w:space="0" w:color="auto"/>
              <w:right w:val="single" w:sz="4" w:space="0" w:color="auto"/>
            </w:tcBorders>
            <w:shd w:val="clear" w:color="auto" w:fill="auto"/>
            <w:noWrap/>
            <w:vAlign w:val="center"/>
            <w:hideMark/>
          </w:tcPr>
          <w:p w14:paraId="1720E2E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1.084,00</w:t>
            </w:r>
          </w:p>
        </w:tc>
        <w:tc>
          <w:tcPr>
            <w:tcW w:w="1080" w:type="dxa"/>
            <w:tcBorders>
              <w:top w:val="nil"/>
              <w:left w:val="nil"/>
              <w:bottom w:val="single" w:sz="4" w:space="0" w:color="auto"/>
              <w:right w:val="single" w:sz="4" w:space="0" w:color="auto"/>
            </w:tcBorders>
            <w:shd w:val="clear" w:color="auto" w:fill="auto"/>
            <w:noWrap/>
            <w:vAlign w:val="center"/>
            <w:hideMark/>
          </w:tcPr>
          <w:p w14:paraId="63AE4C8D" w14:textId="77777777" w:rsidR="00A6503C" w:rsidRPr="00553AEA" w:rsidRDefault="00A6503C" w:rsidP="00553AEA">
            <w:pPr>
              <w:jc w:val="center"/>
              <w:rPr>
                <w:rFonts w:ascii="Calibri" w:hAnsi="Calibri"/>
                <w:sz w:val="20"/>
                <w:szCs w:val="20"/>
              </w:rPr>
            </w:pPr>
            <w:r w:rsidRPr="00553AEA">
              <w:rPr>
                <w:rFonts w:ascii="Calibri" w:hAnsi="Calibri"/>
                <w:sz w:val="20"/>
                <w:szCs w:val="20"/>
              </w:rPr>
              <w:t>120,44</w:t>
            </w:r>
          </w:p>
        </w:tc>
      </w:tr>
      <w:tr w:rsidR="00A6503C" w:rsidRPr="00553AEA" w14:paraId="01CEF9C5"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B2B699E" w14:textId="77777777" w:rsidR="00A6503C" w:rsidRPr="00553AEA" w:rsidRDefault="00A6503C" w:rsidP="00553AEA">
            <w:pPr>
              <w:jc w:val="center"/>
              <w:rPr>
                <w:rFonts w:ascii="Calibri" w:hAnsi="Calibri"/>
                <w:sz w:val="20"/>
                <w:szCs w:val="20"/>
              </w:rPr>
            </w:pPr>
            <w:r w:rsidRPr="00553AEA">
              <w:rPr>
                <w:rFonts w:ascii="Calibri" w:hAnsi="Calibri"/>
                <w:sz w:val="20"/>
                <w:szCs w:val="20"/>
              </w:rPr>
              <w:t>66432</w:t>
            </w:r>
          </w:p>
        </w:tc>
        <w:tc>
          <w:tcPr>
            <w:tcW w:w="4320" w:type="dxa"/>
            <w:tcBorders>
              <w:top w:val="nil"/>
              <w:left w:val="nil"/>
              <w:bottom w:val="single" w:sz="4" w:space="0" w:color="auto"/>
              <w:right w:val="single" w:sz="4" w:space="0" w:color="auto"/>
            </w:tcBorders>
            <w:shd w:val="clear" w:color="auto" w:fill="auto"/>
            <w:vAlign w:val="center"/>
            <w:hideMark/>
          </w:tcPr>
          <w:p w14:paraId="3B7FADE3" w14:textId="77777777" w:rsidR="00A6503C" w:rsidRPr="00553AEA" w:rsidRDefault="00A6503C" w:rsidP="00553AEA">
            <w:pPr>
              <w:jc w:val="left"/>
              <w:rPr>
                <w:rFonts w:ascii="Calibri" w:hAnsi="Calibri"/>
                <w:sz w:val="20"/>
                <w:szCs w:val="20"/>
              </w:rPr>
            </w:pPr>
            <w:r w:rsidRPr="00553AEA">
              <w:rPr>
                <w:rFonts w:ascii="Calibri" w:hAnsi="Calibri"/>
                <w:sz w:val="20"/>
                <w:szCs w:val="20"/>
              </w:rPr>
              <w:t>Nematerijalni troškovi- advokatske usluge</w:t>
            </w:r>
          </w:p>
        </w:tc>
        <w:tc>
          <w:tcPr>
            <w:tcW w:w="1340" w:type="dxa"/>
            <w:tcBorders>
              <w:top w:val="nil"/>
              <w:left w:val="nil"/>
              <w:bottom w:val="single" w:sz="4" w:space="0" w:color="auto"/>
              <w:right w:val="single" w:sz="4" w:space="0" w:color="auto"/>
            </w:tcBorders>
            <w:shd w:val="clear" w:color="auto" w:fill="auto"/>
            <w:noWrap/>
            <w:vAlign w:val="center"/>
            <w:hideMark/>
          </w:tcPr>
          <w:p w14:paraId="2C3EAEFD" w14:textId="77777777" w:rsidR="00A6503C" w:rsidRPr="00553AEA" w:rsidRDefault="00A6503C" w:rsidP="00553AEA">
            <w:pPr>
              <w:jc w:val="right"/>
              <w:rPr>
                <w:rFonts w:ascii="Calibri" w:hAnsi="Calibri"/>
                <w:sz w:val="20"/>
                <w:szCs w:val="20"/>
              </w:rPr>
            </w:pPr>
            <w:r w:rsidRPr="00553AEA">
              <w:rPr>
                <w:rFonts w:ascii="Calibri" w:hAnsi="Calibri"/>
                <w:sz w:val="20"/>
                <w:szCs w:val="20"/>
              </w:rPr>
              <w:t>21.000,00</w:t>
            </w:r>
          </w:p>
        </w:tc>
        <w:tc>
          <w:tcPr>
            <w:tcW w:w="1320" w:type="dxa"/>
            <w:tcBorders>
              <w:top w:val="nil"/>
              <w:left w:val="nil"/>
              <w:bottom w:val="single" w:sz="4" w:space="0" w:color="auto"/>
              <w:right w:val="single" w:sz="4" w:space="0" w:color="auto"/>
            </w:tcBorders>
            <w:shd w:val="clear" w:color="auto" w:fill="auto"/>
            <w:noWrap/>
            <w:vAlign w:val="center"/>
            <w:hideMark/>
          </w:tcPr>
          <w:p w14:paraId="7BCBEB5C"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88.669,78</w:t>
            </w:r>
          </w:p>
        </w:tc>
        <w:tc>
          <w:tcPr>
            <w:tcW w:w="1080" w:type="dxa"/>
            <w:tcBorders>
              <w:top w:val="nil"/>
              <w:left w:val="nil"/>
              <w:bottom w:val="single" w:sz="4" w:space="0" w:color="auto"/>
              <w:right w:val="single" w:sz="4" w:space="0" w:color="auto"/>
            </w:tcBorders>
            <w:shd w:val="clear" w:color="auto" w:fill="auto"/>
            <w:noWrap/>
            <w:vAlign w:val="center"/>
            <w:hideMark/>
          </w:tcPr>
          <w:p w14:paraId="59112540" w14:textId="77777777" w:rsidR="00A6503C" w:rsidRPr="00553AEA" w:rsidRDefault="00A6503C" w:rsidP="00553AEA">
            <w:pPr>
              <w:jc w:val="center"/>
              <w:rPr>
                <w:rFonts w:ascii="Calibri" w:hAnsi="Calibri"/>
                <w:sz w:val="20"/>
                <w:szCs w:val="20"/>
              </w:rPr>
            </w:pPr>
            <w:r w:rsidRPr="00553AEA">
              <w:rPr>
                <w:rFonts w:ascii="Calibri" w:hAnsi="Calibri"/>
                <w:sz w:val="20"/>
                <w:szCs w:val="20"/>
              </w:rPr>
              <w:t>422,24</w:t>
            </w:r>
          </w:p>
        </w:tc>
      </w:tr>
      <w:tr w:rsidR="00A6503C" w:rsidRPr="00553AEA" w14:paraId="1CD3EB5E"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C50B528" w14:textId="77777777" w:rsidR="00A6503C" w:rsidRPr="00553AEA" w:rsidRDefault="00A6503C" w:rsidP="00553AEA">
            <w:pPr>
              <w:jc w:val="center"/>
              <w:rPr>
                <w:rFonts w:ascii="Calibri" w:hAnsi="Calibri"/>
                <w:sz w:val="20"/>
                <w:szCs w:val="20"/>
              </w:rPr>
            </w:pPr>
            <w:r w:rsidRPr="00553AEA">
              <w:rPr>
                <w:rFonts w:ascii="Calibri" w:hAnsi="Calibri"/>
                <w:sz w:val="20"/>
                <w:szCs w:val="20"/>
              </w:rPr>
              <w:t>6644</w:t>
            </w:r>
          </w:p>
        </w:tc>
        <w:tc>
          <w:tcPr>
            <w:tcW w:w="4320" w:type="dxa"/>
            <w:tcBorders>
              <w:top w:val="nil"/>
              <w:left w:val="nil"/>
              <w:bottom w:val="single" w:sz="4" w:space="0" w:color="auto"/>
              <w:right w:val="single" w:sz="4" w:space="0" w:color="auto"/>
            </w:tcBorders>
            <w:shd w:val="clear" w:color="auto" w:fill="auto"/>
            <w:vAlign w:val="center"/>
            <w:hideMark/>
          </w:tcPr>
          <w:p w14:paraId="3F42C162"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PTT usluga u zemlji</w:t>
            </w:r>
          </w:p>
        </w:tc>
        <w:tc>
          <w:tcPr>
            <w:tcW w:w="1340" w:type="dxa"/>
            <w:tcBorders>
              <w:top w:val="nil"/>
              <w:left w:val="nil"/>
              <w:bottom w:val="single" w:sz="4" w:space="0" w:color="auto"/>
              <w:right w:val="single" w:sz="4" w:space="0" w:color="auto"/>
            </w:tcBorders>
            <w:shd w:val="clear" w:color="auto" w:fill="auto"/>
            <w:noWrap/>
            <w:vAlign w:val="center"/>
            <w:hideMark/>
          </w:tcPr>
          <w:p w14:paraId="7F01B51F" w14:textId="77777777" w:rsidR="00A6503C" w:rsidRPr="00553AEA" w:rsidRDefault="00A6503C" w:rsidP="00553AEA">
            <w:pPr>
              <w:jc w:val="right"/>
              <w:rPr>
                <w:rFonts w:ascii="Calibri" w:hAnsi="Calibri"/>
                <w:sz w:val="20"/>
                <w:szCs w:val="20"/>
              </w:rPr>
            </w:pPr>
            <w:r w:rsidRPr="00553AEA">
              <w:rPr>
                <w:rFonts w:ascii="Calibri" w:hAnsi="Calibri"/>
                <w:sz w:val="20"/>
                <w:szCs w:val="20"/>
              </w:rPr>
              <w:t>14.000,00</w:t>
            </w:r>
          </w:p>
        </w:tc>
        <w:tc>
          <w:tcPr>
            <w:tcW w:w="1320" w:type="dxa"/>
            <w:tcBorders>
              <w:top w:val="nil"/>
              <w:left w:val="nil"/>
              <w:bottom w:val="single" w:sz="4" w:space="0" w:color="auto"/>
              <w:right w:val="single" w:sz="4" w:space="0" w:color="auto"/>
            </w:tcBorders>
            <w:shd w:val="clear" w:color="auto" w:fill="auto"/>
            <w:noWrap/>
            <w:vAlign w:val="center"/>
            <w:hideMark/>
          </w:tcPr>
          <w:p w14:paraId="7F8E755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14.102,36</w:t>
            </w:r>
          </w:p>
        </w:tc>
        <w:tc>
          <w:tcPr>
            <w:tcW w:w="1080" w:type="dxa"/>
            <w:tcBorders>
              <w:top w:val="nil"/>
              <w:left w:val="nil"/>
              <w:bottom w:val="single" w:sz="4" w:space="0" w:color="auto"/>
              <w:right w:val="single" w:sz="4" w:space="0" w:color="auto"/>
            </w:tcBorders>
            <w:shd w:val="clear" w:color="auto" w:fill="auto"/>
            <w:noWrap/>
            <w:vAlign w:val="center"/>
            <w:hideMark/>
          </w:tcPr>
          <w:p w14:paraId="1739BB52" w14:textId="77777777" w:rsidR="00A6503C" w:rsidRPr="00553AEA" w:rsidRDefault="00A6503C" w:rsidP="00553AEA">
            <w:pPr>
              <w:jc w:val="center"/>
              <w:rPr>
                <w:rFonts w:ascii="Calibri" w:hAnsi="Calibri"/>
                <w:sz w:val="20"/>
                <w:szCs w:val="20"/>
              </w:rPr>
            </w:pPr>
            <w:r w:rsidRPr="00553AEA">
              <w:rPr>
                <w:rFonts w:ascii="Calibri" w:hAnsi="Calibri"/>
                <w:sz w:val="20"/>
                <w:szCs w:val="20"/>
              </w:rPr>
              <w:t>100,73</w:t>
            </w:r>
          </w:p>
        </w:tc>
      </w:tr>
      <w:tr w:rsidR="00A6503C" w:rsidRPr="00553AEA" w14:paraId="56D75908"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8F93FEE" w14:textId="77777777" w:rsidR="00A6503C" w:rsidRPr="00553AEA" w:rsidRDefault="00A6503C" w:rsidP="00553AEA">
            <w:pPr>
              <w:jc w:val="center"/>
              <w:rPr>
                <w:rFonts w:ascii="Calibri" w:hAnsi="Calibri"/>
                <w:color w:val="auto"/>
                <w:sz w:val="20"/>
                <w:szCs w:val="20"/>
              </w:rPr>
            </w:pPr>
            <w:r w:rsidRPr="00553AEA">
              <w:rPr>
                <w:rFonts w:ascii="Calibri" w:hAnsi="Calibri"/>
                <w:color w:val="auto"/>
                <w:sz w:val="20"/>
                <w:szCs w:val="20"/>
              </w:rPr>
              <w:t>66445</w:t>
            </w:r>
          </w:p>
        </w:tc>
        <w:tc>
          <w:tcPr>
            <w:tcW w:w="4320" w:type="dxa"/>
            <w:tcBorders>
              <w:top w:val="nil"/>
              <w:left w:val="nil"/>
              <w:bottom w:val="single" w:sz="4" w:space="0" w:color="auto"/>
              <w:right w:val="single" w:sz="4" w:space="0" w:color="auto"/>
            </w:tcBorders>
            <w:shd w:val="clear" w:color="auto" w:fill="auto"/>
            <w:vAlign w:val="center"/>
            <w:hideMark/>
          </w:tcPr>
          <w:p w14:paraId="5D164B93" w14:textId="398D7F3A" w:rsidR="00A6503C" w:rsidRPr="00553AEA" w:rsidRDefault="00A6503C" w:rsidP="00553AEA">
            <w:pPr>
              <w:jc w:val="left"/>
              <w:rPr>
                <w:rFonts w:ascii="Calibri" w:hAnsi="Calibri"/>
                <w:color w:val="auto"/>
                <w:sz w:val="20"/>
                <w:szCs w:val="20"/>
              </w:rPr>
            </w:pPr>
            <w:r w:rsidRPr="00553AEA">
              <w:rPr>
                <w:rFonts w:ascii="Calibri" w:hAnsi="Calibri"/>
                <w:color w:val="auto"/>
                <w:sz w:val="20"/>
                <w:szCs w:val="20"/>
              </w:rPr>
              <w:t>T</w:t>
            </w:r>
            <w:r w:rsidR="002C563F">
              <w:rPr>
                <w:rFonts w:ascii="Calibri" w:hAnsi="Calibri"/>
                <w:color w:val="auto"/>
                <w:sz w:val="20"/>
                <w:szCs w:val="20"/>
              </w:rPr>
              <w:t xml:space="preserve">roškovi poklona </w:t>
            </w:r>
          </w:p>
        </w:tc>
        <w:tc>
          <w:tcPr>
            <w:tcW w:w="1340" w:type="dxa"/>
            <w:tcBorders>
              <w:top w:val="nil"/>
              <w:left w:val="nil"/>
              <w:bottom w:val="single" w:sz="4" w:space="0" w:color="auto"/>
              <w:right w:val="single" w:sz="4" w:space="0" w:color="auto"/>
            </w:tcBorders>
            <w:shd w:val="clear" w:color="auto" w:fill="auto"/>
            <w:noWrap/>
            <w:vAlign w:val="center"/>
            <w:hideMark/>
          </w:tcPr>
          <w:p w14:paraId="3B5E367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2.300,00</w:t>
            </w:r>
          </w:p>
        </w:tc>
        <w:tc>
          <w:tcPr>
            <w:tcW w:w="1320" w:type="dxa"/>
            <w:tcBorders>
              <w:top w:val="nil"/>
              <w:left w:val="nil"/>
              <w:bottom w:val="single" w:sz="4" w:space="0" w:color="auto"/>
              <w:right w:val="single" w:sz="4" w:space="0" w:color="auto"/>
            </w:tcBorders>
            <w:shd w:val="clear" w:color="auto" w:fill="auto"/>
            <w:noWrap/>
            <w:vAlign w:val="center"/>
            <w:hideMark/>
          </w:tcPr>
          <w:p w14:paraId="285D75C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781,83</w:t>
            </w:r>
          </w:p>
        </w:tc>
        <w:tc>
          <w:tcPr>
            <w:tcW w:w="1080" w:type="dxa"/>
            <w:tcBorders>
              <w:top w:val="nil"/>
              <w:left w:val="nil"/>
              <w:bottom w:val="single" w:sz="4" w:space="0" w:color="auto"/>
              <w:right w:val="single" w:sz="4" w:space="0" w:color="auto"/>
            </w:tcBorders>
            <w:shd w:val="clear" w:color="auto" w:fill="auto"/>
            <w:noWrap/>
            <w:vAlign w:val="center"/>
            <w:hideMark/>
          </w:tcPr>
          <w:p w14:paraId="247C7D15" w14:textId="77777777" w:rsidR="00A6503C" w:rsidRPr="00553AEA" w:rsidRDefault="00A6503C" w:rsidP="00553AEA">
            <w:pPr>
              <w:jc w:val="center"/>
              <w:rPr>
                <w:rFonts w:ascii="Calibri" w:hAnsi="Calibri"/>
                <w:sz w:val="20"/>
                <w:szCs w:val="20"/>
              </w:rPr>
            </w:pPr>
            <w:r w:rsidRPr="00553AEA">
              <w:rPr>
                <w:rFonts w:ascii="Calibri" w:hAnsi="Calibri"/>
                <w:sz w:val="20"/>
                <w:szCs w:val="20"/>
              </w:rPr>
              <w:t>33,99</w:t>
            </w:r>
          </w:p>
        </w:tc>
      </w:tr>
      <w:tr w:rsidR="00A6503C" w:rsidRPr="00553AEA" w14:paraId="07631C26"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E7F6FE9" w14:textId="77777777" w:rsidR="00A6503C" w:rsidRPr="00553AEA" w:rsidRDefault="00A6503C" w:rsidP="00553AEA">
            <w:pPr>
              <w:jc w:val="center"/>
              <w:rPr>
                <w:rFonts w:ascii="Calibri" w:hAnsi="Calibri"/>
                <w:sz w:val="20"/>
                <w:szCs w:val="20"/>
              </w:rPr>
            </w:pPr>
            <w:r w:rsidRPr="00553AEA">
              <w:rPr>
                <w:rFonts w:ascii="Calibri" w:hAnsi="Calibri"/>
                <w:sz w:val="20"/>
                <w:szCs w:val="20"/>
              </w:rPr>
              <w:t>6645</w:t>
            </w:r>
          </w:p>
        </w:tc>
        <w:tc>
          <w:tcPr>
            <w:tcW w:w="4320" w:type="dxa"/>
            <w:tcBorders>
              <w:top w:val="nil"/>
              <w:left w:val="nil"/>
              <w:bottom w:val="single" w:sz="4" w:space="0" w:color="auto"/>
              <w:right w:val="single" w:sz="4" w:space="0" w:color="auto"/>
            </w:tcBorders>
            <w:shd w:val="clear" w:color="auto" w:fill="auto"/>
            <w:vAlign w:val="center"/>
            <w:hideMark/>
          </w:tcPr>
          <w:p w14:paraId="19F4F59E" w14:textId="77777777" w:rsidR="00A6503C" w:rsidRPr="00553AEA" w:rsidRDefault="00A6503C" w:rsidP="00553AEA">
            <w:pPr>
              <w:jc w:val="left"/>
              <w:rPr>
                <w:rFonts w:ascii="Calibri" w:hAnsi="Calibri"/>
                <w:sz w:val="20"/>
                <w:szCs w:val="20"/>
              </w:rPr>
            </w:pPr>
            <w:r w:rsidRPr="00553AEA">
              <w:rPr>
                <w:rFonts w:ascii="Calibri" w:hAnsi="Calibri"/>
                <w:sz w:val="20"/>
                <w:szCs w:val="20"/>
              </w:rPr>
              <w:t>Trošak seminara</w:t>
            </w:r>
          </w:p>
        </w:tc>
        <w:tc>
          <w:tcPr>
            <w:tcW w:w="1340" w:type="dxa"/>
            <w:tcBorders>
              <w:top w:val="nil"/>
              <w:left w:val="nil"/>
              <w:bottom w:val="single" w:sz="4" w:space="0" w:color="auto"/>
              <w:right w:val="single" w:sz="4" w:space="0" w:color="auto"/>
            </w:tcBorders>
            <w:shd w:val="clear" w:color="auto" w:fill="auto"/>
            <w:noWrap/>
            <w:vAlign w:val="center"/>
            <w:hideMark/>
          </w:tcPr>
          <w:p w14:paraId="657F7C2C" w14:textId="77777777" w:rsidR="00A6503C" w:rsidRPr="00553AEA" w:rsidRDefault="00A6503C" w:rsidP="00553AEA">
            <w:pPr>
              <w:jc w:val="right"/>
              <w:rPr>
                <w:rFonts w:ascii="Calibri" w:hAnsi="Calibri"/>
                <w:sz w:val="20"/>
                <w:szCs w:val="20"/>
              </w:rPr>
            </w:pPr>
            <w:r w:rsidRPr="00553AEA">
              <w:rPr>
                <w:rFonts w:ascii="Calibri" w:hAnsi="Calibri"/>
                <w:sz w:val="20"/>
                <w:szCs w:val="20"/>
              </w:rPr>
              <w:t>7.000,00</w:t>
            </w:r>
          </w:p>
        </w:tc>
        <w:tc>
          <w:tcPr>
            <w:tcW w:w="1320" w:type="dxa"/>
            <w:tcBorders>
              <w:top w:val="nil"/>
              <w:left w:val="nil"/>
              <w:bottom w:val="single" w:sz="4" w:space="0" w:color="auto"/>
              <w:right w:val="single" w:sz="4" w:space="0" w:color="auto"/>
            </w:tcBorders>
            <w:shd w:val="clear" w:color="auto" w:fill="auto"/>
            <w:noWrap/>
            <w:vAlign w:val="center"/>
            <w:hideMark/>
          </w:tcPr>
          <w:p w14:paraId="66CB92A7"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8.678,43</w:t>
            </w:r>
          </w:p>
        </w:tc>
        <w:tc>
          <w:tcPr>
            <w:tcW w:w="1080" w:type="dxa"/>
            <w:tcBorders>
              <w:top w:val="nil"/>
              <w:left w:val="nil"/>
              <w:bottom w:val="single" w:sz="4" w:space="0" w:color="auto"/>
              <w:right w:val="single" w:sz="4" w:space="0" w:color="auto"/>
            </w:tcBorders>
            <w:shd w:val="clear" w:color="auto" w:fill="auto"/>
            <w:noWrap/>
            <w:vAlign w:val="center"/>
            <w:hideMark/>
          </w:tcPr>
          <w:p w14:paraId="2AC5F560" w14:textId="77777777" w:rsidR="00A6503C" w:rsidRPr="00553AEA" w:rsidRDefault="00A6503C" w:rsidP="00553AEA">
            <w:pPr>
              <w:jc w:val="center"/>
              <w:rPr>
                <w:rFonts w:ascii="Calibri" w:hAnsi="Calibri"/>
                <w:sz w:val="20"/>
                <w:szCs w:val="20"/>
              </w:rPr>
            </w:pPr>
            <w:r w:rsidRPr="00553AEA">
              <w:rPr>
                <w:rFonts w:ascii="Calibri" w:hAnsi="Calibri"/>
                <w:sz w:val="20"/>
                <w:szCs w:val="20"/>
              </w:rPr>
              <w:t>123,98</w:t>
            </w:r>
          </w:p>
        </w:tc>
      </w:tr>
      <w:tr w:rsidR="00A6503C" w:rsidRPr="00553AEA" w14:paraId="530682DA"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ACDF2F3" w14:textId="77777777" w:rsidR="00A6503C" w:rsidRPr="00553AEA" w:rsidRDefault="00A6503C" w:rsidP="00553AEA">
            <w:pPr>
              <w:jc w:val="center"/>
              <w:rPr>
                <w:rFonts w:ascii="Calibri" w:hAnsi="Calibri"/>
                <w:sz w:val="20"/>
                <w:szCs w:val="20"/>
              </w:rPr>
            </w:pPr>
            <w:r w:rsidRPr="00553AEA">
              <w:rPr>
                <w:rFonts w:ascii="Calibri" w:hAnsi="Calibri"/>
                <w:sz w:val="20"/>
                <w:szCs w:val="20"/>
              </w:rPr>
              <w:t>6647</w:t>
            </w:r>
          </w:p>
        </w:tc>
        <w:tc>
          <w:tcPr>
            <w:tcW w:w="4320" w:type="dxa"/>
            <w:tcBorders>
              <w:top w:val="nil"/>
              <w:left w:val="nil"/>
              <w:bottom w:val="single" w:sz="4" w:space="0" w:color="auto"/>
              <w:right w:val="single" w:sz="4" w:space="0" w:color="auto"/>
            </w:tcBorders>
            <w:shd w:val="clear" w:color="auto" w:fill="auto"/>
            <w:vAlign w:val="center"/>
            <w:hideMark/>
          </w:tcPr>
          <w:p w14:paraId="69EE01FB"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platnog prometa - u domaćoj valuti</w:t>
            </w:r>
          </w:p>
        </w:tc>
        <w:tc>
          <w:tcPr>
            <w:tcW w:w="1340" w:type="dxa"/>
            <w:tcBorders>
              <w:top w:val="nil"/>
              <w:left w:val="nil"/>
              <w:bottom w:val="single" w:sz="4" w:space="0" w:color="auto"/>
              <w:right w:val="single" w:sz="4" w:space="0" w:color="auto"/>
            </w:tcBorders>
            <w:shd w:val="clear" w:color="auto" w:fill="auto"/>
            <w:noWrap/>
            <w:vAlign w:val="center"/>
            <w:hideMark/>
          </w:tcPr>
          <w:p w14:paraId="6ACEF2BE" w14:textId="77777777" w:rsidR="00A6503C" w:rsidRPr="00553AEA" w:rsidRDefault="00A6503C" w:rsidP="00553AEA">
            <w:pPr>
              <w:jc w:val="right"/>
              <w:rPr>
                <w:rFonts w:ascii="Calibri" w:hAnsi="Calibri"/>
                <w:sz w:val="20"/>
                <w:szCs w:val="20"/>
              </w:rPr>
            </w:pPr>
            <w:r w:rsidRPr="00553AEA">
              <w:rPr>
                <w:rFonts w:ascii="Calibri" w:hAnsi="Calibri"/>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14:paraId="204346D5"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14:paraId="50010AC2" w14:textId="77777777" w:rsidR="00A6503C" w:rsidRPr="00553AEA" w:rsidRDefault="00A6503C" w:rsidP="00553AEA">
            <w:pPr>
              <w:jc w:val="center"/>
              <w:rPr>
                <w:rFonts w:ascii="Calibri" w:hAnsi="Calibri"/>
                <w:sz w:val="20"/>
                <w:szCs w:val="20"/>
              </w:rPr>
            </w:pPr>
            <w:r w:rsidRPr="00553AEA">
              <w:rPr>
                <w:rFonts w:ascii="Calibri" w:hAnsi="Calibri"/>
                <w:sz w:val="20"/>
                <w:szCs w:val="20"/>
              </w:rPr>
              <w:t>0,00</w:t>
            </w:r>
          </w:p>
        </w:tc>
      </w:tr>
      <w:tr w:rsidR="00A6503C" w:rsidRPr="00553AEA" w14:paraId="07C6E687"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BD6BEE3" w14:textId="77777777" w:rsidR="00A6503C" w:rsidRPr="00553AEA" w:rsidRDefault="00A6503C" w:rsidP="00553AEA">
            <w:pPr>
              <w:jc w:val="center"/>
              <w:rPr>
                <w:rFonts w:ascii="Calibri" w:hAnsi="Calibri"/>
                <w:sz w:val="20"/>
                <w:szCs w:val="20"/>
              </w:rPr>
            </w:pPr>
            <w:r w:rsidRPr="00553AEA">
              <w:rPr>
                <w:rFonts w:ascii="Calibri" w:hAnsi="Calibri"/>
                <w:sz w:val="20"/>
                <w:szCs w:val="20"/>
              </w:rPr>
              <w:t>6648</w:t>
            </w:r>
          </w:p>
        </w:tc>
        <w:tc>
          <w:tcPr>
            <w:tcW w:w="4320" w:type="dxa"/>
            <w:tcBorders>
              <w:top w:val="nil"/>
              <w:left w:val="nil"/>
              <w:bottom w:val="single" w:sz="4" w:space="0" w:color="auto"/>
              <w:right w:val="single" w:sz="4" w:space="0" w:color="auto"/>
            </w:tcBorders>
            <w:shd w:val="clear" w:color="auto" w:fill="auto"/>
            <w:vAlign w:val="center"/>
            <w:hideMark/>
          </w:tcPr>
          <w:p w14:paraId="3865CE33"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PTT usluga prenosne pošiljke</w:t>
            </w:r>
          </w:p>
        </w:tc>
        <w:tc>
          <w:tcPr>
            <w:tcW w:w="1340" w:type="dxa"/>
            <w:tcBorders>
              <w:top w:val="nil"/>
              <w:left w:val="nil"/>
              <w:bottom w:val="single" w:sz="4" w:space="0" w:color="auto"/>
              <w:right w:val="single" w:sz="4" w:space="0" w:color="auto"/>
            </w:tcBorders>
            <w:shd w:val="clear" w:color="auto" w:fill="auto"/>
            <w:noWrap/>
            <w:vAlign w:val="center"/>
            <w:hideMark/>
          </w:tcPr>
          <w:p w14:paraId="34A45C29" w14:textId="77777777" w:rsidR="00A6503C" w:rsidRPr="00553AEA" w:rsidRDefault="00A6503C" w:rsidP="00553AEA">
            <w:pPr>
              <w:jc w:val="right"/>
              <w:rPr>
                <w:rFonts w:ascii="Calibri" w:hAnsi="Calibri"/>
                <w:sz w:val="20"/>
                <w:szCs w:val="20"/>
              </w:rPr>
            </w:pPr>
            <w:r w:rsidRPr="00553AEA">
              <w:rPr>
                <w:rFonts w:ascii="Calibri" w:hAnsi="Calibri"/>
                <w:sz w:val="20"/>
                <w:szCs w:val="20"/>
              </w:rPr>
              <w:t>2.000,00</w:t>
            </w:r>
          </w:p>
        </w:tc>
        <w:tc>
          <w:tcPr>
            <w:tcW w:w="1320" w:type="dxa"/>
            <w:tcBorders>
              <w:top w:val="nil"/>
              <w:left w:val="nil"/>
              <w:bottom w:val="single" w:sz="4" w:space="0" w:color="auto"/>
              <w:right w:val="single" w:sz="4" w:space="0" w:color="auto"/>
            </w:tcBorders>
            <w:shd w:val="clear" w:color="auto" w:fill="auto"/>
            <w:noWrap/>
            <w:vAlign w:val="center"/>
            <w:hideMark/>
          </w:tcPr>
          <w:p w14:paraId="20705E5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2.445,87</w:t>
            </w:r>
          </w:p>
        </w:tc>
        <w:tc>
          <w:tcPr>
            <w:tcW w:w="1080" w:type="dxa"/>
            <w:tcBorders>
              <w:top w:val="nil"/>
              <w:left w:val="nil"/>
              <w:bottom w:val="single" w:sz="4" w:space="0" w:color="auto"/>
              <w:right w:val="single" w:sz="4" w:space="0" w:color="auto"/>
            </w:tcBorders>
            <w:shd w:val="clear" w:color="auto" w:fill="auto"/>
            <w:noWrap/>
            <w:vAlign w:val="center"/>
            <w:hideMark/>
          </w:tcPr>
          <w:p w14:paraId="11E13550" w14:textId="77777777" w:rsidR="00A6503C" w:rsidRPr="00553AEA" w:rsidRDefault="00A6503C" w:rsidP="00553AEA">
            <w:pPr>
              <w:jc w:val="center"/>
              <w:rPr>
                <w:rFonts w:ascii="Calibri" w:hAnsi="Calibri"/>
                <w:sz w:val="20"/>
                <w:szCs w:val="20"/>
              </w:rPr>
            </w:pPr>
            <w:r w:rsidRPr="00553AEA">
              <w:rPr>
                <w:rFonts w:ascii="Calibri" w:hAnsi="Calibri"/>
                <w:sz w:val="20"/>
                <w:szCs w:val="20"/>
              </w:rPr>
              <w:t>122,29</w:t>
            </w:r>
          </w:p>
        </w:tc>
      </w:tr>
      <w:tr w:rsidR="00A6503C" w:rsidRPr="00553AEA" w14:paraId="60E1086C"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4867FD0" w14:textId="77777777" w:rsidR="00A6503C" w:rsidRPr="00553AEA" w:rsidRDefault="00A6503C" w:rsidP="00553AEA">
            <w:pPr>
              <w:jc w:val="center"/>
              <w:rPr>
                <w:rFonts w:ascii="Calibri" w:hAnsi="Calibri"/>
                <w:color w:val="auto"/>
                <w:sz w:val="20"/>
                <w:szCs w:val="20"/>
              </w:rPr>
            </w:pPr>
            <w:r w:rsidRPr="00553AEA">
              <w:rPr>
                <w:rFonts w:ascii="Calibri" w:hAnsi="Calibri"/>
                <w:color w:val="auto"/>
                <w:sz w:val="20"/>
                <w:szCs w:val="20"/>
              </w:rPr>
              <w:t>6649</w:t>
            </w:r>
          </w:p>
        </w:tc>
        <w:tc>
          <w:tcPr>
            <w:tcW w:w="4320" w:type="dxa"/>
            <w:tcBorders>
              <w:top w:val="nil"/>
              <w:left w:val="nil"/>
              <w:bottom w:val="single" w:sz="4" w:space="0" w:color="auto"/>
              <w:right w:val="single" w:sz="4" w:space="0" w:color="auto"/>
            </w:tcBorders>
            <w:shd w:val="clear" w:color="auto" w:fill="auto"/>
            <w:vAlign w:val="center"/>
            <w:hideMark/>
          </w:tcPr>
          <w:p w14:paraId="66E2464C" w14:textId="77777777" w:rsidR="00A6503C" w:rsidRPr="00553AEA" w:rsidRDefault="00A6503C" w:rsidP="00553AEA">
            <w:pPr>
              <w:jc w:val="left"/>
              <w:rPr>
                <w:rFonts w:ascii="Calibri" w:hAnsi="Calibri"/>
                <w:color w:val="auto"/>
                <w:sz w:val="20"/>
                <w:szCs w:val="20"/>
              </w:rPr>
            </w:pPr>
            <w:r w:rsidRPr="00553AEA">
              <w:rPr>
                <w:rFonts w:ascii="Calibri" w:hAnsi="Calibri"/>
                <w:color w:val="auto"/>
                <w:sz w:val="20"/>
                <w:szCs w:val="20"/>
              </w:rPr>
              <w:t>Nematerijalni trošak (trošak predaje godišnjeg obračuna)</w:t>
            </w:r>
          </w:p>
        </w:tc>
        <w:tc>
          <w:tcPr>
            <w:tcW w:w="1340" w:type="dxa"/>
            <w:tcBorders>
              <w:top w:val="nil"/>
              <w:left w:val="nil"/>
              <w:bottom w:val="single" w:sz="4" w:space="0" w:color="auto"/>
              <w:right w:val="single" w:sz="4" w:space="0" w:color="auto"/>
            </w:tcBorders>
            <w:shd w:val="clear" w:color="auto" w:fill="auto"/>
            <w:noWrap/>
            <w:vAlign w:val="center"/>
            <w:hideMark/>
          </w:tcPr>
          <w:p w14:paraId="11AFB5A4"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110,00</w:t>
            </w:r>
          </w:p>
        </w:tc>
        <w:tc>
          <w:tcPr>
            <w:tcW w:w="1320" w:type="dxa"/>
            <w:tcBorders>
              <w:top w:val="nil"/>
              <w:left w:val="nil"/>
              <w:bottom w:val="single" w:sz="4" w:space="0" w:color="auto"/>
              <w:right w:val="single" w:sz="4" w:space="0" w:color="auto"/>
            </w:tcBorders>
            <w:shd w:val="clear" w:color="auto" w:fill="auto"/>
            <w:noWrap/>
            <w:vAlign w:val="center"/>
            <w:hideMark/>
          </w:tcPr>
          <w:p w14:paraId="1CD81AD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155,00</w:t>
            </w:r>
          </w:p>
        </w:tc>
        <w:tc>
          <w:tcPr>
            <w:tcW w:w="1080" w:type="dxa"/>
            <w:tcBorders>
              <w:top w:val="nil"/>
              <w:left w:val="nil"/>
              <w:bottom w:val="single" w:sz="4" w:space="0" w:color="auto"/>
              <w:right w:val="single" w:sz="4" w:space="0" w:color="auto"/>
            </w:tcBorders>
            <w:shd w:val="clear" w:color="auto" w:fill="auto"/>
            <w:noWrap/>
            <w:vAlign w:val="center"/>
            <w:hideMark/>
          </w:tcPr>
          <w:p w14:paraId="298B524C" w14:textId="77777777" w:rsidR="00A6503C" w:rsidRPr="00553AEA" w:rsidRDefault="00A6503C" w:rsidP="00553AEA">
            <w:pPr>
              <w:jc w:val="center"/>
              <w:rPr>
                <w:rFonts w:ascii="Calibri" w:hAnsi="Calibri"/>
                <w:sz w:val="20"/>
                <w:szCs w:val="20"/>
              </w:rPr>
            </w:pPr>
            <w:r w:rsidRPr="00553AEA">
              <w:rPr>
                <w:rFonts w:ascii="Calibri" w:hAnsi="Calibri"/>
                <w:sz w:val="20"/>
                <w:szCs w:val="20"/>
              </w:rPr>
              <w:t>140,91</w:t>
            </w:r>
          </w:p>
        </w:tc>
      </w:tr>
      <w:tr w:rsidR="001A4ADE" w:rsidRPr="00553AEA" w14:paraId="069444E0" w14:textId="77777777" w:rsidTr="00F10627">
        <w:trPr>
          <w:trHeight w:val="315"/>
        </w:trPr>
        <w:tc>
          <w:tcPr>
            <w:tcW w:w="880"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14:paraId="3895EA36" w14:textId="77777777" w:rsidR="001A4ADE" w:rsidRPr="00553AEA" w:rsidRDefault="001A4ADE" w:rsidP="00C64B1E">
            <w:pPr>
              <w:jc w:val="center"/>
              <w:rPr>
                <w:rFonts w:ascii="Calibri" w:hAnsi="Calibri"/>
                <w:b/>
                <w:bCs/>
                <w:sz w:val="20"/>
                <w:szCs w:val="20"/>
              </w:rPr>
            </w:pPr>
            <w:r w:rsidRPr="00553AEA">
              <w:rPr>
                <w:rFonts w:ascii="Calibri" w:hAnsi="Calibri"/>
                <w:b/>
                <w:bCs/>
                <w:sz w:val="20"/>
                <w:szCs w:val="20"/>
              </w:rPr>
              <w:lastRenderedPageBreak/>
              <w:t>Konto</w:t>
            </w:r>
          </w:p>
        </w:tc>
        <w:tc>
          <w:tcPr>
            <w:tcW w:w="4320" w:type="dxa"/>
            <w:tcBorders>
              <w:top w:val="nil"/>
              <w:left w:val="nil"/>
              <w:bottom w:val="single" w:sz="4" w:space="0" w:color="auto"/>
              <w:right w:val="single" w:sz="4" w:space="0" w:color="auto"/>
            </w:tcBorders>
            <w:shd w:val="clear" w:color="auto" w:fill="C6D9F1" w:themeFill="text2" w:themeFillTint="33"/>
            <w:vAlign w:val="center"/>
            <w:hideMark/>
          </w:tcPr>
          <w:p w14:paraId="6A46F63A" w14:textId="77777777" w:rsidR="001A4ADE" w:rsidRPr="00553AEA" w:rsidRDefault="001A4ADE" w:rsidP="00C64B1E">
            <w:pPr>
              <w:jc w:val="center"/>
              <w:rPr>
                <w:rFonts w:ascii="Calibri" w:hAnsi="Calibri"/>
                <w:b/>
                <w:bCs/>
                <w:sz w:val="20"/>
                <w:szCs w:val="20"/>
              </w:rPr>
            </w:pPr>
            <w:r>
              <w:rPr>
                <w:rFonts w:ascii="Calibri" w:hAnsi="Calibri"/>
                <w:b/>
                <w:bCs/>
                <w:sz w:val="20"/>
                <w:szCs w:val="20"/>
              </w:rPr>
              <w:t>Naziv</w:t>
            </w:r>
          </w:p>
        </w:tc>
        <w:tc>
          <w:tcPr>
            <w:tcW w:w="1340" w:type="dxa"/>
            <w:tcBorders>
              <w:top w:val="nil"/>
              <w:left w:val="nil"/>
              <w:bottom w:val="single" w:sz="4" w:space="0" w:color="auto"/>
              <w:right w:val="single" w:sz="4" w:space="0" w:color="auto"/>
            </w:tcBorders>
            <w:shd w:val="clear" w:color="auto" w:fill="C6D9F1" w:themeFill="text2" w:themeFillTint="33"/>
            <w:noWrap/>
            <w:vAlign w:val="center"/>
            <w:hideMark/>
          </w:tcPr>
          <w:p w14:paraId="3F60FC64" w14:textId="77777777" w:rsidR="001A4ADE" w:rsidRPr="00553AEA" w:rsidRDefault="001A4ADE" w:rsidP="00C64B1E">
            <w:pPr>
              <w:jc w:val="center"/>
              <w:rPr>
                <w:rFonts w:ascii="Calibri" w:hAnsi="Calibri"/>
                <w:b/>
                <w:bCs/>
                <w:sz w:val="20"/>
                <w:szCs w:val="20"/>
              </w:rPr>
            </w:pPr>
            <w:r w:rsidRPr="00553AEA">
              <w:rPr>
                <w:rFonts w:ascii="Calibri" w:hAnsi="Calibri"/>
                <w:b/>
                <w:bCs/>
                <w:sz w:val="20"/>
                <w:szCs w:val="20"/>
              </w:rPr>
              <w:t xml:space="preserve">Planirano </w:t>
            </w:r>
            <w:r>
              <w:rPr>
                <w:rFonts w:ascii="Calibri" w:hAnsi="Calibri"/>
                <w:b/>
                <w:bCs/>
                <w:sz w:val="20"/>
                <w:szCs w:val="20"/>
              </w:rPr>
              <w:t xml:space="preserve">u </w:t>
            </w:r>
            <w:r w:rsidRPr="00553AEA">
              <w:rPr>
                <w:rFonts w:ascii="Calibri" w:hAnsi="Calibri"/>
                <w:b/>
                <w:bCs/>
                <w:sz w:val="20"/>
                <w:szCs w:val="20"/>
              </w:rPr>
              <w:t>2023. Godin</w:t>
            </w:r>
            <w:r>
              <w:rPr>
                <w:rFonts w:ascii="Calibri" w:hAnsi="Calibri"/>
                <w:b/>
                <w:bCs/>
                <w:sz w:val="20"/>
                <w:szCs w:val="20"/>
              </w:rPr>
              <w:t>i</w:t>
            </w:r>
          </w:p>
        </w:tc>
        <w:tc>
          <w:tcPr>
            <w:tcW w:w="1320" w:type="dxa"/>
            <w:tcBorders>
              <w:top w:val="nil"/>
              <w:left w:val="nil"/>
              <w:bottom w:val="single" w:sz="4" w:space="0" w:color="auto"/>
              <w:right w:val="single" w:sz="4" w:space="0" w:color="auto"/>
            </w:tcBorders>
            <w:shd w:val="clear" w:color="auto" w:fill="C6D9F1" w:themeFill="text2" w:themeFillTint="33"/>
            <w:noWrap/>
            <w:vAlign w:val="center"/>
            <w:hideMark/>
          </w:tcPr>
          <w:p w14:paraId="06BF62B2" w14:textId="77777777" w:rsidR="001A4ADE" w:rsidRPr="00553AEA" w:rsidRDefault="001A4ADE" w:rsidP="00C64B1E">
            <w:pPr>
              <w:jc w:val="center"/>
              <w:rPr>
                <w:rFonts w:ascii="Calibri" w:hAnsi="Calibri"/>
                <w:b/>
                <w:bCs/>
                <w:sz w:val="20"/>
                <w:szCs w:val="20"/>
              </w:rPr>
            </w:pPr>
            <w:r w:rsidRPr="00553AEA">
              <w:rPr>
                <w:rFonts w:ascii="Calibri" w:hAnsi="Calibri"/>
                <w:b/>
                <w:bCs/>
                <w:sz w:val="20"/>
                <w:szCs w:val="20"/>
              </w:rPr>
              <w:t>Ostvareno u 2023. godini</w:t>
            </w:r>
          </w:p>
        </w:tc>
        <w:tc>
          <w:tcPr>
            <w:tcW w:w="1080" w:type="dxa"/>
            <w:tcBorders>
              <w:top w:val="nil"/>
              <w:left w:val="nil"/>
              <w:bottom w:val="single" w:sz="4" w:space="0" w:color="auto"/>
              <w:right w:val="single" w:sz="4" w:space="0" w:color="auto"/>
            </w:tcBorders>
            <w:shd w:val="clear" w:color="auto" w:fill="C6D9F1" w:themeFill="text2" w:themeFillTint="33"/>
            <w:noWrap/>
            <w:vAlign w:val="center"/>
            <w:hideMark/>
          </w:tcPr>
          <w:p w14:paraId="7739FC62" w14:textId="77777777" w:rsidR="001A4ADE" w:rsidRPr="00553AEA" w:rsidRDefault="001A4ADE" w:rsidP="00C64B1E">
            <w:pPr>
              <w:jc w:val="center"/>
              <w:rPr>
                <w:rFonts w:ascii="Calibri" w:hAnsi="Calibri"/>
                <w:b/>
                <w:sz w:val="20"/>
                <w:szCs w:val="20"/>
              </w:rPr>
            </w:pPr>
            <w:r w:rsidRPr="00553AEA">
              <w:rPr>
                <w:rFonts w:ascii="Calibri" w:hAnsi="Calibri"/>
                <w:b/>
                <w:sz w:val="20"/>
                <w:szCs w:val="20"/>
              </w:rPr>
              <w:t>Indeks</w:t>
            </w:r>
          </w:p>
        </w:tc>
      </w:tr>
      <w:tr w:rsidR="00A6503C" w:rsidRPr="00553AEA" w14:paraId="28ED5E60"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40CF6C5" w14:textId="77777777" w:rsidR="00A6503C" w:rsidRPr="00553AEA" w:rsidRDefault="00A6503C" w:rsidP="00553AEA">
            <w:pPr>
              <w:jc w:val="center"/>
              <w:rPr>
                <w:rFonts w:ascii="Calibri" w:hAnsi="Calibri"/>
                <w:color w:val="auto"/>
                <w:sz w:val="20"/>
                <w:szCs w:val="20"/>
              </w:rPr>
            </w:pPr>
            <w:r w:rsidRPr="00553AEA">
              <w:rPr>
                <w:rFonts w:ascii="Calibri" w:hAnsi="Calibri"/>
                <w:color w:val="auto"/>
                <w:sz w:val="20"/>
                <w:szCs w:val="20"/>
              </w:rPr>
              <w:t>66482</w:t>
            </w:r>
          </w:p>
        </w:tc>
        <w:tc>
          <w:tcPr>
            <w:tcW w:w="4320" w:type="dxa"/>
            <w:tcBorders>
              <w:top w:val="nil"/>
              <w:left w:val="nil"/>
              <w:bottom w:val="single" w:sz="4" w:space="0" w:color="auto"/>
              <w:right w:val="single" w:sz="4" w:space="0" w:color="auto"/>
            </w:tcBorders>
            <w:shd w:val="clear" w:color="auto" w:fill="auto"/>
            <w:vAlign w:val="center"/>
            <w:hideMark/>
          </w:tcPr>
          <w:p w14:paraId="7063ADBE" w14:textId="77777777" w:rsidR="00A6503C" w:rsidRPr="00553AEA" w:rsidRDefault="00A6503C" w:rsidP="00553AEA">
            <w:pPr>
              <w:jc w:val="left"/>
              <w:rPr>
                <w:rFonts w:ascii="Calibri" w:hAnsi="Calibri"/>
                <w:color w:val="auto"/>
                <w:sz w:val="20"/>
                <w:szCs w:val="20"/>
              </w:rPr>
            </w:pPr>
            <w:r w:rsidRPr="00553AEA">
              <w:rPr>
                <w:rFonts w:ascii="Calibri" w:hAnsi="Calibri"/>
                <w:color w:val="auto"/>
                <w:sz w:val="20"/>
                <w:szCs w:val="20"/>
              </w:rPr>
              <w:t>Troškovi uvođenja ISO 9001, i ISO 14001</w:t>
            </w:r>
          </w:p>
        </w:tc>
        <w:tc>
          <w:tcPr>
            <w:tcW w:w="1340" w:type="dxa"/>
            <w:tcBorders>
              <w:top w:val="nil"/>
              <w:left w:val="nil"/>
              <w:bottom w:val="single" w:sz="4" w:space="0" w:color="auto"/>
              <w:right w:val="single" w:sz="4" w:space="0" w:color="auto"/>
            </w:tcBorders>
            <w:shd w:val="clear" w:color="auto" w:fill="auto"/>
            <w:noWrap/>
            <w:vAlign w:val="center"/>
            <w:hideMark/>
          </w:tcPr>
          <w:p w14:paraId="3B0D4B7C"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10.000,00</w:t>
            </w:r>
          </w:p>
        </w:tc>
        <w:tc>
          <w:tcPr>
            <w:tcW w:w="1320" w:type="dxa"/>
            <w:tcBorders>
              <w:top w:val="nil"/>
              <w:left w:val="nil"/>
              <w:bottom w:val="single" w:sz="4" w:space="0" w:color="auto"/>
              <w:right w:val="single" w:sz="4" w:space="0" w:color="auto"/>
            </w:tcBorders>
            <w:shd w:val="clear" w:color="auto" w:fill="auto"/>
            <w:noWrap/>
            <w:vAlign w:val="center"/>
            <w:hideMark/>
          </w:tcPr>
          <w:p w14:paraId="08159876" w14:textId="77777777" w:rsidR="00A6503C" w:rsidRPr="00553AEA" w:rsidRDefault="00A6503C" w:rsidP="00553AEA">
            <w:pPr>
              <w:jc w:val="right"/>
              <w:rPr>
                <w:rFonts w:ascii="Calibri" w:hAnsi="Calibri"/>
                <w:color w:val="FF0000"/>
                <w:sz w:val="20"/>
                <w:szCs w:val="20"/>
              </w:rPr>
            </w:pPr>
            <w:r w:rsidRPr="00553AEA">
              <w:rPr>
                <w:rFonts w:ascii="Calibri" w:hAnsi="Calibri"/>
                <w:color w:val="FF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869420" w14:textId="77777777" w:rsidR="00A6503C" w:rsidRPr="00553AEA" w:rsidRDefault="00A6503C" w:rsidP="00553AEA">
            <w:pPr>
              <w:jc w:val="center"/>
              <w:rPr>
                <w:rFonts w:ascii="Calibri" w:hAnsi="Calibri"/>
                <w:sz w:val="20"/>
                <w:szCs w:val="20"/>
              </w:rPr>
            </w:pPr>
            <w:r w:rsidRPr="00553AEA">
              <w:rPr>
                <w:rFonts w:ascii="Calibri" w:hAnsi="Calibri"/>
                <w:sz w:val="20"/>
                <w:szCs w:val="20"/>
              </w:rPr>
              <w:t>0,00</w:t>
            </w:r>
          </w:p>
        </w:tc>
      </w:tr>
      <w:tr w:rsidR="00A6503C" w:rsidRPr="00553AEA" w14:paraId="093EBA39"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354A5F0B"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665</w:t>
            </w:r>
          </w:p>
        </w:tc>
        <w:tc>
          <w:tcPr>
            <w:tcW w:w="4320" w:type="dxa"/>
            <w:tcBorders>
              <w:top w:val="nil"/>
              <w:left w:val="nil"/>
              <w:bottom w:val="single" w:sz="4" w:space="0" w:color="auto"/>
              <w:right w:val="single" w:sz="4" w:space="0" w:color="auto"/>
            </w:tcBorders>
            <w:shd w:val="clear" w:color="000000" w:fill="C5D9F1"/>
            <w:vAlign w:val="center"/>
            <w:hideMark/>
          </w:tcPr>
          <w:p w14:paraId="012CFE7E" w14:textId="77777777" w:rsidR="00A6503C" w:rsidRPr="00553AEA" w:rsidRDefault="00A6503C" w:rsidP="00553AEA">
            <w:pPr>
              <w:jc w:val="left"/>
              <w:rPr>
                <w:rFonts w:ascii="Calibri" w:hAnsi="Calibri"/>
                <w:b/>
                <w:bCs/>
                <w:sz w:val="20"/>
                <w:szCs w:val="20"/>
              </w:rPr>
            </w:pPr>
            <w:r w:rsidRPr="00553AEA">
              <w:rPr>
                <w:rFonts w:ascii="Calibri" w:hAnsi="Calibri"/>
                <w:b/>
                <w:bCs/>
                <w:sz w:val="20"/>
                <w:szCs w:val="20"/>
              </w:rPr>
              <w:t>Troškovi po osnovu poreza i doprinosa</w:t>
            </w:r>
          </w:p>
        </w:tc>
        <w:tc>
          <w:tcPr>
            <w:tcW w:w="1340" w:type="dxa"/>
            <w:tcBorders>
              <w:top w:val="nil"/>
              <w:left w:val="nil"/>
              <w:bottom w:val="single" w:sz="4" w:space="0" w:color="auto"/>
              <w:right w:val="single" w:sz="4" w:space="0" w:color="auto"/>
            </w:tcBorders>
            <w:shd w:val="clear" w:color="000000" w:fill="C5D9F1"/>
            <w:noWrap/>
            <w:vAlign w:val="center"/>
            <w:hideMark/>
          </w:tcPr>
          <w:p w14:paraId="362BE4EA"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300,00</w:t>
            </w:r>
          </w:p>
        </w:tc>
        <w:tc>
          <w:tcPr>
            <w:tcW w:w="1320" w:type="dxa"/>
            <w:tcBorders>
              <w:top w:val="nil"/>
              <w:left w:val="nil"/>
              <w:bottom w:val="single" w:sz="4" w:space="0" w:color="auto"/>
              <w:right w:val="single" w:sz="4" w:space="0" w:color="auto"/>
            </w:tcBorders>
            <w:shd w:val="clear" w:color="000000" w:fill="C5D9F1"/>
            <w:noWrap/>
            <w:vAlign w:val="center"/>
            <w:hideMark/>
          </w:tcPr>
          <w:p w14:paraId="4CF9C73D"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273,00</w:t>
            </w:r>
          </w:p>
        </w:tc>
        <w:tc>
          <w:tcPr>
            <w:tcW w:w="1080" w:type="dxa"/>
            <w:tcBorders>
              <w:top w:val="nil"/>
              <w:left w:val="nil"/>
              <w:bottom w:val="single" w:sz="4" w:space="0" w:color="auto"/>
              <w:right w:val="single" w:sz="4" w:space="0" w:color="auto"/>
            </w:tcBorders>
            <w:shd w:val="clear" w:color="000000" w:fill="C5D9F1"/>
            <w:noWrap/>
            <w:vAlign w:val="center"/>
            <w:hideMark/>
          </w:tcPr>
          <w:p w14:paraId="255D597C"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91,00</w:t>
            </w:r>
          </w:p>
        </w:tc>
      </w:tr>
      <w:tr w:rsidR="00A6503C" w:rsidRPr="00553AEA" w14:paraId="23E00F40"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67ADDD2" w14:textId="77777777" w:rsidR="00A6503C" w:rsidRPr="00553AEA" w:rsidRDefault="00A6503C" w:rsidP="00553AEA">
            <w:pPr>
              <w:jc w:val="center"/>
              <w:rPr>
                <w:rFonts w:ascii="Calibri" w:hAnsi="Calibri"/>
                <w:sz w:val="20"/>
                <w:szCs w:val="20"/>
              </w:rPr>
            </w:pPr>
            <w:r w:rsidRPr="00553AEA">
              <w:rPr>
                <w:rFonts w:ascii="Calibri" w:hAnsi="Calibri"/>
                <w:sz w:val="20"/>
                <w:szCs w:val="20"/>
              </w:rPr>
              <w:t>6650</w:t>
            </w:r>
          </w:p>
        </w:tc>
        <w:tc>
          <w:tcPr>
            <w:tcW w:w="4320" w:type="dxa"/>
            <w:tcBorders>
              <w:top w:val="nil"/>
              <w:left w:val="nil"/>
              <w:bottom w:val="single" w:sz="4" w:space="0" w:color="auto"/>
              <w:right w:val="single" w:sz="4" w:space="0" w:color="auto"/>
            </w:tcBorders>
            <w:shd w:val="clear" w:color="auto" w:fill="auto"/>
            <w:vAlign w:val="center"/>
            <w:hideMark/>
          </w:tcPr>
          <w:p w14:paraId="729C9535"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vodnog doprinosa</w:t>
            </w:r>
          </w:p>
        </w:tc>
        <w:tc>
          <w:tcPr>
            <w:tcW w:w="1340" w:type="dxa"/>
            <w:tcBorders>
              <w:top w:val="nil"/>
              <w:left w:val="nil"/>
              <w:bottom w:val="single" w:sz="4" w:space="0" w:color="auto"/>
              <w:right w:val="single" w:sz="4" w:space="0" w:color="auto"/>
            </w:tcBorders>
            <w:shd w:val="clear" w:color="auto" w:fill="auto"/>
            <w:noWrap/>
            <w:vAlign w:val="center"/>
            <w:hideMark/>
          </w:tcPr>
          <w:p w14:paraId="7C14FCE0" w14:textId="77777777" w:rsidR="00A6503C" w:rsidRPr="00553AEA" w:rsidRDefault="00A6503C" w:rsidP="00553AEA">
            <w:pPr>
              <w:jc w:val="right"/>
              <w:rPr>
                <w:rFonts w:ascii="Calibri" w:hAnsi="Calibri"/>
                <w:sz w:val="20"/>
                <w:szCs w:val="20"/>
              </w:rPr>
            </w:pPr>
            <w:r w:rsidRPr="00553AEA">
              <w:rPr>
                <w:rFonts w:ascii="Calibri" w:hAnsi="Calibri"/>
                <w:sz w:val="20"/>
                <w:szCs w:val="20"/>
              </w:rPr>
              <w:t>300,00</w:t>
            </w:r>
          </w:p>
        </w:tc>
        <w:tc>
          <w:tcPr>
            <w:tcW w:w="1320" w:type="dxa"/>
            <w:tcBorders>
              <w:top w:val="nil"/>
              <w:left w:val="nil"/>
              <w:bottom w:val="single" w:sz="4" w:space="0" w:color="auto"/>
              <w:right w:val="single" w:sz="4" w:space="0" w:color="auto"/>
            </w:tcBorders>
            <w:shd w:val="clear" w:color="auto" w:fill="auto"/>
            <w:noWrap/>
            <w:vAlign w:val="center"/>
            <w:hideMark/>
          </w:tcPr>
          <w:p w14:paraId="4C36097F" w14:textId="77777777" w:rsidR="00A6503C" w:rsidRPr="00553AEA" w:rsidRDefault="00A6503C" w:rsidP="00553AEA">
            <w:pPr>
              <w:jc w:val="right"/>
              <w:rPr>
                <w:rFonts w:ascii="Calibri" w:hAnsi="Calibri"/>
                <w:sz w:val="20"/>
                <w:szCs w:val="20"/>
              </w:rPr>
            </w:pPr>
            <w:r w:rsidRPr="00553AEA">
              <w:rPr>
                <w:rFonts w:ascii="Calibri" w:hAnsi="Calibri"/>
                <w:sz w:val="20"/>
                <w:szCs w:val="20"/>
              </w:rPr>
              <w:t>273,00</w:t>
            </w:r>
          </w:p>
        </w:tc>
        <w:tc>
          <w:tcPr>
            <w:tcW w:w="1080" w:type="dxa"/>
            <w:tcBorders>
              <w:top w:val="nil"/>
              <w:left w:val="nil"/>
              <w:bottom w:val="single" w:sz="4" w:space="0" w:color="auto"/>
              <w:right w:val="single" w:sz="4" w:space="0" w:color="auto"/>
            </w:tcBorders>
            <w:shd w:val="clear" w:color="auto" w:fill="auto"/>
            <w:noWrap/>
            <w:vAlign w:val="center"/>
            <w:hideMark/>
          </w:tcPr>
          <w:p w14:paraId="50172B2C" w14:textId="77777777" w:rsidR="00A6503C" w:rsidRPr="00553AEA" w:rsidRDefault="00A6503C" w:rsidP="00553AEA">
            <w:pPr>
              <w:jc w:val="center"/>
              <w:rPr>
                <w:rFonts w:ascii="Calibri" w:hAnsi="Calibri"/>
                <w:sz w:val="20"/>
                <w:szCs w:val="20"/>
              </w:rPr>
            </w:pPr>
            <w:r w:rsidRPr="00553AEA">
              <w:rPr>
                <w:rFonts w:ascii="Calibri" w:hAnsi="Calibri"/>
                <w:sz w:val="20"/>
                <w:szCs w:val="20"/>
              </w:rPr>
              <w:t>91,00</w:t>
            </w:r>
          </w:p>
        </w:tc>
      </w:tr>
      <w:tr w:rsidR="00A6503C" w:rsidRPr="00553AEA" w14:paraId="034B599D"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65B5E30A"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666</w:t>
            </w:r>
          </w:p>
        </w:tc>
        <w:tc>
          <w:tcPr>
            <w:tcW w:w="4320" w:type="dxa"/>
            <w:tcBorders>
              <w:top w:val="nil"/>
              <w:left w:val="nil"/>
              <w:bottom w:val="single" w:sz="4" w:space="0" w:color="auto"/>
              <w:right w:val="single" w:sz="4" w:space="0" w:color="auto"/>
            </w:tcBorders>
            <w:shd w:val="clear" w:color="000000" w:fill="C5D9F1"/>
            <w:vAlign w:val="center"/>
            <w:hideMark/>
          </w:tcPr>
          <w:p w14:paraId="0DD3D9D7" w14:textId="43D3CF0E" w:rsidR="00A6503C" w:rsidRPr="00553AEA" w:rsidRDefault="002C563F" w:rsidP="00553AEA">
            <w:pPr>
              <w:jc w:val="left"/>
              <w:rPr>
                <w:rFonts w:ascii="Calibri" w:hAnsi="Calibri"/>
                <w:b/>
                <w:bCs/>
                <w:sz w:val="20"/>
                <w:szCs w:val="20"/>
              </w:rPr>
            </w:pPr>
            <w:r>
              <w:rPr>
                <w:rFonts w:ascii="Calibri" w:hAnsi="Calibri"/>
                <w:b/>
                <w:bCs/>
                <w:sz w:val="20"/>
                <w:szCs w:val="20"/>
              </w:rPr>
              <w:t>Ostali</w:t>
            </w:r>
            <w:r w:rsidR="00A6503C" w:rsidRPr="00553AEA">
              <w:rPr>
                <w:rFonts w:ascii="Calibri" w:hAnsi="Calibri"/>
                <w:b/>
                <w:bCs/>
                <w:sz w:val="20"/>
                <w:szCs w:val="20"/>
              </w:rPr>
              <w:t xml:space="preserve"> </w:t>
            </w:r>
            <w:r>
              <w:rPr>
                <w:rFonts w:ascii="Calibri" w:hAnsi="Calibri"/>
                <w:b/>
                <w:bCs/>
                <w:sz w:val="20"/>
                <w:szCs w:val="20"/>
              </w:rPr>
              <w:t>t</w:t>
            </w:r>
            <w:r w:rsidR="00A6503C" w:rsidRPr="00553AEA">
              <w:rPr>
                <w:rFonts w:ascii="Calibri" w:hAnsi="Calibri"/>
                <w:b/>
                <w:bCs/>
                <w:sz w:val="20"/>
                <w:szCs w:val="20"/>
              </w:rPr>
              <w:t>roškovi</w:t>
            </w:r>
          </w:p>
        </w:tc>
        <w:tc>
          <w:tcPr>
            <w:tcW w:w="1340" w:type="dxa"/>
            <w:tcBorders>
              <w:top w:val="nil"/>
              <w:left w:val="nil"/>
              <w:bottom w:val="single" w:sz="4" w:space="0" w:color="auto"/>
              <w:right w:val="single" w:sz="4" w:space="0" w:color="auto"/>
            </w:tcBorders>
            <w:shd w:val="clear" w:color="000000" w:fill="C5D9F1"/>
            <w:noWrap/>
            <w:vAlign w:val="center"/>
            <w:hideMark/>
          </w:tcPr>
          <w:p w14:paraId="1358D377"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111.272,22</w:t>
            </w:r>
          </w:p>
        </w:tc>
        <w:tc>
          <w:tcPr>
            <w:tcW w:w="1320" w:type="dxa"/>
            <w:tcBorders>
              <w:top w:val="nil"/>
              <w:left w:val="nil"/>
              <w:bottom w:val="single" w:sz="4" w:space="0" w:color="auto"/>
              <w:right w:val="single" w:sz="4" w:space="0" w:color="auto"/>
            </w:tcBorders>
            <w:shd w:val="clear" w:color="000000" w:fill="C5D9F1"/>
            <w:noWrap/>
            <w:vAlign w:val="center"/>
            <w:hideMark/>
          </w:tcPr>
          <w:p w14:paraId="51B54536"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132.121,82</w:t>
            </w:r>
          </w:p>
        </w:tc>
        <w:tc>
          <w:tcPr>
            <w:tcW w:w="1080" w:type="dxa"/>
            <w:tcBorders>
              <w:top w:val="nil"/>
              <w:left w:val="nil"/>
              <w:bottom w:val="single" w:sz="4" w:space="0" w:color="auto"/>
              <w:right w:val="single" w:sz="4" w:space="0" w:color="auto"/>
            </w:tcBorders>
            <w:shd w:val="clear" w:color="000000" w:fill="C5D9F1"/>
            <w:noWrap/>
            <w:vAlign w:val="center"/>
            <w:hideMark/>
          </w:tcPr>
          <w:p w14:paraId="322CFF4F"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118,74</w:t>
            </w:r>
          </w:p>
        </w:tc>
      </w:tr>
      <w:tr w:rsidR="00A6503C" w:rsidRPr="00553AEA" w14:paraId="68680593"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CB97C53" w14:textId="77777777" w:rsidR="00A6503C" w:rsidRPr="00553AEA" w:rsidRDefault="00A6503C" w:rsidP="00553AEA">
            <w:pPr>
              <w:jc w:val="center"/>
              <w:rPr>
                <w:rFonts w:ascii="Calibri" w:hAnsi="Calibri"/>
                <w:sz w:val="20"/>
                <w:szCs w:val="20"/>
              </w:rPr>
            </w:pPr>
            <w:r w:rsidRPr="00553AEA">
              <w:rPr>
                <w:rFonts w:ascii="Calibri" w:hAnsi="Calibri"/>
                <w:sz w:val="20"/>
                <w:szCs w:val="20"/>
              </w:rPr>
              <w:t>6660</w:t>
            </w:r>
          </w:p>
        </w:tc>
        <w:tc>
          <w:tcPr>
            <w:tcW w:w="4320" w:type="dxa"/>
            <w:tcBorders>
              <w:top w:val="nil"/>
              <w:left w:val="nil"/>
              <w:bottom w:val="single" w:sz="4" w:space="0" w:color="auto"/>
              <w:right w:val="single" w:sz="4" w:space="0" w:color="auto"/>
            </w:tcBorders>
            <w:shd w:val="clear" w:color="auto" w:fill="auto"/>
            <w:vAlign w:val="center"/>
            <w:hideMark/>
          </w:tcPr>
          <w:p w14:paraId="72E3875E" w14:textId="77777777" w:rsidR="00A6503C" w:rsidRPr="00553AEA" w:rsidRDefault="00A6503C" w:rsidP="00553AEA">
            <w:pPr>
              <w:jc w:val="left"/>
              <w:rPr>
                <w:rFonts w:ascii="Calibri" w:hAnsi="Calibri"/>
                <w:sz w:val="20"/>
                <w:szCs w:val="20"/>
              </w:rPr>
            </w:pPr>
            <w:r w:rsidRPr="00553AEA">
              <w:rPr>
                <w:rFonts w:ascii="Calibri" w:hAnsi="Calibri"/>
                <w:sz w:val="20"/>
                <w:szCs w:val="20"/>
              </w:rPr>
              <w:t>Ostali troškovi - troškovi zakupa</w:t>
            </w:r>
          </w:p>
        </w:tc>
        <w:tc>
          <w:tcPr>
            <w:tcW w:w="1340" w:type="dxa"/>
            <w:tcBorders>
              <w:top w:val="nil"/>
              <w:left w:val="nil"/>
              <w:bottom w:val="single" w:sz="4" w:space="0" w:color="auto"/>
              <w:right w:val="single" w:sz="4" w:space="0" w:color="auto"/>
            </w:tcBorders>
            <w:shd w:val="clear" w:color="auto" w:fill="auto"/>
            <w:noWrap/>
            <w:vAlign w:val="center"/>
            <w:hideMark/>
          </w:tcPr>
          <w:p w14:paraId="1DCD24CD" w14:textId="77777777" w:rsidR="00A6503C" w:rsidRPr="00553AEA" w:rsidRDefault="00A6503C" w:rsidP="00553AEA">
            <w:pPr>
              <w:jc w:val="right"/>
              <w:rPr>
                <w:rFonts w:ascii="Calibri" w:hAnsi="Calibri"/>
                <w:sz w:val="20"/>
                <w:szCs w:val="20"/>
              </w:rPr>
            </w:pPr>
            <w:r w:rsidRPr="00553AEA">
              <w:rPr>
                <w:rFonts w:ascii="Calibri" w:hAnsi="Calibri"/>
                <w:sz w:val="20"/>
                <w:szCs w:val="20"/>
              </w:rPr>
              <w:t>56.142,00</w:t>
            </w:r>
          </w:p>
        </w:tc>
        <w:tc>
          <w:tcPr>
            <w:tcW w:w="1320" w:type="dxa"/>
            <w:tcBorders>
              <w:top w:val="nil"/>
              <w:left w:val="nil"/>
              <w:bottom w:val="single" w:sz="4" w:space="0" w:color="auto"/>
              <w:right w:val="single" w:sz="4" w:space="0" w:color="auto"/>
            </w:tcBorders>
            <w:shd w:val="clear" w:color="auto" w:fill="auto"/>
            <w:noWrap/>
            <w:vAlign w:val="center"/>
            <w:hideMark/>
          </w:tcPr>
          <w:p w14:paraId="6209857E"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56.409,44</w:t>
            </w:r>
          </w:p>
        </w:tc>
        <w:tc>
          <w:tcPr>
            <w:tcW w:w="1080" w:type="dxa"/>
            <w:tcBorders>
              <w:top w:val="nil"/>
              <w:left w:val="nil"/>
              <w:bottom w:val="single" w:sz="4" w:space="0" w:color="auto"/>
              <w:right w:val="single" w:sz="4" w:space="0" w:color="auto"/>
            </w:tcBorders>
            <w:shd w:val="clear" w:color="auto" w:fill="auto"/>
            <w:noWrap/>
            <w:vAlign w:val="center"/>
            <w:hideMark/>
          </w:tcPr>
          <w:p w14:paraId="22531562" w14:textId="77777777" w:rsidR="00A6503C" w:rsidRPr="00553AEA" w:rsidRDefault="00A6503C" w:rsidP="00553AEA">
            <w:pPr>
              <w:jc w:val="center"/>
              <w:rPr>
                <w:rFonts w:ascii="Calibri" w:hAnsi="Calibri"/>
                <w:sz w:val="20"/>
                <w:szCs w:val="20"/>
              </w:rPr>
            </w:pPr>
            <w:r w:rsidRPr="00553AEA">
              <w:rPr>
                <w:rFonts w:ascii="Calibri" w:hAnsi="Calibri"/>
                <w:sz w:val="20"/>
                <w:szCs w:val="20"/>
              </w:rPr>
              <w:t>100,48</w:t>
            </w:r>
          </w:p>
        </w:tc>
      </w:tr>
      <w:tr w:rsidR="00A6503C" w:rsidRPr="00553AEA" w14:paraId="109B017E"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9AAC259" w14:textId="77777777" w:rsidR="00A6503C" w:rsidRPr="00553AEA" w:rsidRDefault="00A6503C" w:rsidP="00553AEA">
            <w:pPr>
              <w:jc w:val="center"/>
              <w:rPr>
                <w:rFonts w:ascii="Calibri" w:hAnsi="Calibri"/>
                <w:sz w:val="20"/>
                <w:szCs w:val="20"/>
              </w:rPr>
            </w:pPr>
            <w:r w:rsidRPr="00553AEA">
              <w:rPr>
                <w:rFonts w:ascii="Calibri" w:hAnsi="Calibri"/>
                <w:sz w:val="20"/>
                <w:szCs w:val="20"/>
              </w:rPr>
              <w:t>6661</w:t>
            </w:r>
          </w:p>
        </w:tc>
        <w:tc>
          <w:tcPr>
            <w:tcW w:w="4320" w:type="dxa"/>
            <w:tcBorders>
              <w:top w:val="nil"/>
              <w:left w:val="nil"/>
              <w:bottom w:val="single" w:sz="4" w:space="0" w:color="auto"/>
              <w:right w:val="single" w:sz="4" w:space="0" w:color="auto"/>
            </w:tcBorders>
            <w:shd w:val="clear" w:color="auto" w:fill="auto"/>
            <w:vAlign w:val="center"/>
            <w:hideMark/>
          </w:tcPr>
          <w:p w14:paraId="26EECA64"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dachshund</w:t>
            </w:r>
          </w:p>
        </w:tc>
        <w:tc>
          <w:tcPr>
            <w:tcW w:w="1340" w:type="dxa"/>
            <w:tcBorders>
              <w:top w:val="nil"/>
              <w:left w:val="nil"/>
              <w:bottom w:val="single" w:sz="4" w:space="0" w:color="auto"/>
              <w:right w:val="single" w:sz="4" w:space="0" w:color="auto"/>
            </w:tcBorders>
            <w:shd w:val="clear" w:color="auto" w:fill="auto"/>
            <w:noWrap/>
            <w:vAlign w:val="center"/>
            <w:hideMark/>
          </w:tcPr>
          <w:p w14:paraId="31D7341F" w14:textId="77777777" w:rsidR="00A6503C" w:rsidRPr="00553AEA" w:rsidRDefault="00A6503C" w:rsidP="00553AEA">
            <w:pPr>
              <w:jc w:val="right"/>
              <w:rPr>
                <w:rFonts w:ascii="Calibri" w:hAnsi="Calibri"/>
                <w:sz w:val="20"/>
                <w:szCs w:val="20"/>
              </w:rPr>
            </w:pPr>
            <w:r w:rsidRPr="00553AEA">
              <w:rPr>
                <w:rFonts w:ascii="Calibri" w:hAnsi="Calibri"/>
                <w:sz w:val="20"/>
                <w:szCs w:val="20"/>
              </w:rPr>
              <w:t>20.000,00</w:t>
            </w:r>
          </w:p>
        </w:tc>
        <w:tc>
          <w:tcPr>
            <w:tcW w:w="1320" w:type="dxa"/>
            <w:tcBorders>
              <w:top w:val="nil"/>
              <w:left w:val="nil"/>
              <w:bottom w:val="single" w:sz="4" w:space="0" w:color="auto"/>
              <w:right w:val="single" w:sz="4" w:space="0" w:color="auto"/>
            </w:tcBorders>
            <w:shd w:val="clear" w:color="auto" w:fill="auto"/>
            <w:noWrap/>
            <w:vAlign w:val="center"/>
            <w:hideMark/>
          </w:tcPr>
          <w:p w14:paraId="27F76247"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51.321,92</w:t>
            </w:r>
          </w:p>
        </w:tc>
        <w:tc>
          <w:tcPr>
            <w:tcW w:w="1080" w:type="dxa"/>
            <w:tcBorders>
              <w:top w:val="nil"/>
              <w:left w:val="nil"/>
              <w:bottom w:val="single" w:sz="4" w:space="0" w:color="auto"/>
              <w:right w:val="single" w:sz="4" w:space="0" w:color="auto"/>
            </w:tcBorders>
            <w:shd w:val="clear" w:color="auto" w:fill="auto"/>
            <w:noWrap/>
            <w:vAlign w:val="center"/>
            <w:hideMark/>
          </w:tcPr>
          <w:p w14:paraId="58820F8A" w14:textId="77777777" w:rsidR="00A6503C" w:rsidRPr="00553AEA" w:rsidRDefault="00A6503C" w:rsidP="00553AEA">
            <w:pPr>
              <w:jc w:val="center"/>
              <w:rPr>
                <w:rFonts w:ascii="Calibri" w:hAnsi="Calibri"/>
                <w:sz w:val="20"/>
                <w:szCs w:val="20"/>
              </w:rPr>
            </w:pPr>
            <w:r w:rsidRPr="00553AEA">
              <w:rPr>
                <w:rFonts w:ascii="Calibri" w:hAnsi="Calibri"/>
                <w:sz w:val="20"/>
                <w:szCs w:val="20"/>
              </w:rPr>
              <w:t>256,61</w:t>
            </w:r>
          </w:p>
        </w:tc>
      </w:tr>
      <w:tr w:rsidR="00A6503C" w:rsidRPr="00553AEA" w14:paraId="5A4A2813"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59508E1" w14:textId="77777777" w:rsidR="00A6503C" w:rsidRPr="00553AEA" w:rsidRDefault="00A6503C" w:rsidP="00553AEA">
            <w:pPr>
              <w:jc w:val="center"/>
              <w:rPr>
                <w:rFonts w:ascii="Calibri" w:hAnsi="Calibri"/>
                <w:sz w:val="20"/>
                <w:szCs w:val="20"/>
              </w:rPr>
            </w:pPr>
            <w:r w:rsidRPr="00553AEA">
              <w:rPr>
                <w:rFonts w:ascii="Calibri" w:hAnsi="Calibri"/>
                <w:sz w:val="20"/>
                <w:szCs w:val="20"/>
              </w:rPr>
              <w:t>66611</w:t>
            </w:r>
          </w:p>
        </w:tc>
        <w:tc>
          <w:tcPr>
            <w:tcW w:w="4320" w:type="dxa"/>
            <w:tcBorders>
              <w:top w:val="nil"/>
              <w:left w:val="nil"/>
              <w:bottom w:val="single" w:sz="4" w:space="0" w:color="auto"/>
              <w:right w:val="single" w:sz="4" w:space="0" w:color="auto"/>
            </w:tcBorders>
            <w:shd w:val="clear" w:color="auto" w:fill="auto"/>
            <w:vAlign w:val="center"/>
            <w:hideMark/>
          </w:tcPr>
          <w:p w14:paraId="61826BDD" w14:textId="77777777" w:rsidR="00A6503C" w:rsidRPr="00553AEA" w:rsidRDefault="00A6503C" w:rsidP="00553AEA">
            <w:pPr>
              <w:jc w:val="left"/>
              <w:rPr>
                <w:rFonts w:ascii="Calibri" w:hAnsi="Calibri"/>
                <w:color w:val="auto"/>
                <w:sz w:val="20"/>
                <w:szCs w:val="20"/>
              </w:rPr>
            </w:pPr>
            <w:r w:rsidRPr="00553AEA">
              <w:rPr>
                <w:rFonts w:ascii="Calibri" w:hAnsi="Calibri"/>
                <w:color w:val="auto"/>
                <w:sz w:val="20"/>
                <w:szCs w:val="20"/>
              </w:rPr>
              <w:t>Ostali troškovi – novogodišnji paketići</w:t>
            </w:r>
          </w:p>
        </w:tc>
        <w:tc>
          <w:tcPr>
            <w:tcW w:w="1340" w:type="dxa"/>
            <w:tcBorders>
              <w:top w:val="nil"/>
              <w:left w:val="nil"/>
              <w:bottom w:val="single" w:sz="4" w:space="0" w:color="auto"/>
              <w:right w:val="single" w:sz="4" w:space="0" w:color="auto"/>
            </w:tcBorders>
            <w:shd w:val="clear" w:color="auto" w:fill="auto"/>
            <w:noWrap/>
            <w:vAlign w:val="center"/>
            <w:hideMark/>
          </w:tcPr>
          <w:p w14:paraId="6370EC1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14:paraId="7E1E9415"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1.122,68</w:t>
            </w:r>
          </w:p>
        </w:tc>
        <w:tc>
          <w:tcPr>
            <w:tcW w:w="1080" w:type="dxa"/>
            <w:tcBorders>
              <w:top w:val="nil"/>
              <w:left w:val="nil"/>
              <w:bottom w:val="single" w:sz="4" w:space="0" w:color="auto"/>
              <w:right w:val="single" w:sz="4" w:space="0" w:color="auto"/>
            </w:tcBorders>
            <w:shd w:val="clear" w:color="auto" w:fill="auto"/>
            <w:noWrap/>
            <w:vAlign w:val="center"/>
            <w:hideMark/>
          </w:tcPr>
          <w:p w14:paraId="7623E662" w14:textId="77777777" w:rsidR="00A6503C" w:rsidRPr="00553AEA" w:rsidRDefault="00A6503C" w:rsidP="00553AEA">
            <w:pPr>
              <w:jc w:val="center"/>
              <w:rPr>
                <w:rFonts w:ascii="Calibri" w:hAnsi="Calibri"/>
                <w:sz w:val="20"/>
                <w:szCs w:val="20"/>
              </w:rPr>
            </w:pPr>
            <w:r w:rsidRPr="00553AEA">
              <w:rPr>
                <w:rFonts w:ascii="Calibri" w:hAnsi="Calibri"/>
                <w:sz w:val="20"/>
                <w:szCs w:val="20"/>
              </w:rPr>
              <w:t>112,27</w:t>
            </w:r>
          </w:p>
        </w:tc>
      </w:tr>
      <w:tr w:rsidR="00A6503C" w:rsidRPr="00553AEA" w14:paraId="6E350779"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9F03F16" w14:textId="77777777" w:rsidR="00A6503C" w:rsidRPr="00553AEA" w:rsidRDefault="00A6503C" w:rsidP="00553AEA">
            <w:pPr>
              <w:jc w:val="center"/>
              <w:rPr>
                <w:rFonts w:ascii="Calibri" w:hAnsi="Calibri"/>
                <w:sz w:val="20"/>
                <w:szCs w:val="20"/>
              </w:rPr>
            </w:pPr>
            <w:r w:rsidRPr="00553AEA">
              <w:rPr>
                <w:rFonts w:ascii="Calibri" w:hAnsi="Calibri"/>
                <w:sz w:val="20"/>
                <w:szCs w:val="20"/>
              </w:rPr>
              <w:t>66613</w:t>
            </w:r>
          </w:p>
        </w:tc>
        <w:tc>
          <w:tcPr>
            <w:tcW w:w="4320" w:type="dxa"/>
            <w:tcBorders>
              <w:top w:val="nil"/>
              <w:left w:val="nil"/>
              <w:bottom w:val="single" w:sz="4" w:space="0" w:color="auto"/>
              <w:right w:val="single" w:sz="4" w:space="0" w:color="auto"/>
            </w:tcBorders>
            <w:shd w:val="clear" w:color="auto" w:fill="auto"/>
            <w:vAlign w:val="center"/>
            <w:hideMark/>
          </w:tcPr>
          <w:p w14:paraId="40B11532"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oglašavanja i propagande</w:t>
            </w:r>
          </w:p>
        </w:tc>
        <w:tc>
          <w:tcPr>
            <w:tcW w:w="1340" w:type="dxa"/>
            <w:tcBorders>
              <w:top w:val="nil"/>
              <w:left w:val="nil"/>
              <w:bottom w:val="single" w:sz="4" w:space="0" w:color="auto"/>
              <w:right w:val="single" w:sz="4" w:space="0" w:color="auto"/>
            </w:tcBorders>
            <w:shd w:val="clear" w:color="auto" w:fill="auto"/>
            <w:noWrap/>
            <w:vAlign w:val="center"/>
            <w:hideMark/>
          </w:tcPr>
          <w:p w14:paraId="6486EFB6" w14:textId="77777777" w:rsidR="00A6503C" w:rsidRPr="00553AEA" w:rsidRDefault="00A6503C" w:rsidP="00553AEA">
            <w:pPr>
              <w:jc w:val="right"/>
              <w:rPr>
                <w:rFonts w:ascii="Calibri" w:hAnsi="Calibri"/>
                <w:sz w:val="20"/>
                <w:szCs w:val="20"/>
              </w:rPr>
            </w:pPr>
            <w:r w:rsidRPr="00553AEA">
              <w:rPr>
                <w:rFonts w:ascii="Calibri" w:hAnsi="Calibri"/>
                <w:sz w:val="20"/>
                <w:szCs w:val="20"/>
              </w:rPr>
              <w:t>5.000,00</w:t>
            </w:r>
          </w:p>
        </w:tc>
        <w:tc>
          <w:tcPr>
            <w:tcW w:w="1320" w:type="dxa"/>
            <w:tcBorders>
              <w:top w:val="nil"/>
              <w:left w:val="nil"/>
              <w:bottom w:val="single" w:sz="4" w:space="0" w:color="auto"/>
              <w:right w:val="single" w:sz="4" w:space="0" w:color="auto"/>
            </w:tcBorders>
            <w:shd w:val="clear" w:color="auto" w:fill="auto"/>
            <w:noWrap/>
            <w:vAlign w:val="center"/>
            <w:hideMark/>
          </w:tcPr>
          <w:p w14:paraId="27A6FD13"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3.846,32</w:t>
            </w:r>
          </w:p>
        </w:tc>
        <w:tc>
          <w:tcPr>
            <w:tcW w:w="1080" w:type="dxa"/>
            <w:tcBorders>
              <w:top w:val="nil"/>
              <w:left w:val="nil"/>
              <w:bottom w:val="single" w:sz="4" w:space="0" w:color="auto"/>
              <w:right w:val="single" w:sz="4" w:space="0" w:color="auto"/>
            </w:tcBorders>
            <w:shd w:val="clear" w:color="auto" w:fill="auto"/>
            <w:noWrap/>
            <w:vAlign w:val="center"/>
            <w:hideMark/>
          </w:tcPr>
          <w:p w14:paraId="4C478137" w14:textId="77777777" w:rsidR="00A6503C" w:rsidRPr="00553AEA" w:rsidRDefault="00A6503C" w:rsidP="00553AEA">
            <w:pPr>
              <w:jc w:val="center"/>
              <w:rPr>
                <w:rFonts w:ascii="Calibri" w:hAnsi="Calibri"/>
                <w:sz w:val="20"/>
                <w:szCs w:val="20"/>
              </w:rPr>
            </w:pPr>
            <w:r w:rsidRPr="00553AEA">
              <w:rPr>
                <w:rFonts w:ascii="Calibri" w:hAnsi="Calibri"/>
                <w:sz w:val="20"/>
                <w:szCs w:val="20"/>
              </w:rPr>
              <w:t>76,93</w:t>
            </w:r>
          </w:p>
        </w:tc>
      </w:tr>
      <w:tr w:rsidR="00A6503C" w:rsidRPr="00553AEA" w14:paraId="19602284"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36CADC3" w14:textId="77777777" w:rsidR="00A6503C" w:rsidRPr="00553AEA" w:rsidRDefault="00A6503C" w:rsidP="00553AEA">
            <w:pPr>
              <w:jc w:val="center"/>
              <w:rPr>
                <w:rFonts w:ascii="Calibri" w:hAnsi="Calibri"/>
                <w:sz w:val="20"/>
                <w:szCs w:val="20"/>
              </w:rPr>
            </w:pPr>
            <w:r w:rsidRPr="00553AEA">
              <w:rPr>
                <w:rFonts w:ascii="Calibri" w:hAnsi="Calibri"/>
                <w:sz w:val="20"/>
                <w:szCs w:val="20"/>
              </w:rPr>
              <w:t>66616</w:t>
            </w:r>
          </w:p>
        </w:tc>
        <w:tc>
          <w:tcPr>
            <w:tcW w:w="4320" w:type="dxa"/>
            <w:tcBorders>
              <w:top w:val="nil"/>
              <w:left w:val="nil"/>
              <w:bottom w:val="single" w:sz="4" w:space="0" w:color="auto"/>
              <w:right w:val="single" w:sz="4" w:space="0" w:color="auto"/>
            </w:tcBorders>
            <w:shd w:val="clear" w:color="auto" w:fill="auto"/>
            <w:vAlign w:val="center"/>
            <w:hideMark/>
          </w:tcPr>
          <w:p w14:paraId="7B52CE9A" w14:textId="77777777" w:rsidR="00A6503C" w:rsidRPr="00553AEA" w:rsidRDefault="00A6503C" w:rsidP="00553AEA">
            <w:pPr>
              <w:jc w:val="left"/>
              <w:rPr>
                <w:rFonts w:ascii="Calibri" w:hAnsi="Calibri"/>
                <w:sz w:val="20"/>
                <w:szCs w:val="20"/>
              </w:rPr>
            </w:pPr>
            <w:r w:rsidRPr="00553AEA">
              <w:rPr>
                <w:rFonts w:ascii="Calibri" w:hAnsi="Calibri"/>
                <w:sz w:val="20"/>
                <w:szCs w:val="20"/>
              </w:rPr>
              <w:t>Ostali troškovi - Donacije</w:t>
            </w:r>
          </w:p>
        </w:tc>
        <w:tc>
          <w:tcPr>
            <w:tcW w:w="1340" w:type="dxa"/>
            <w:tcBorders>
              <w:top w:val="nil"/>
              <w:left w:val="nil"/>
              <w:bottom w:val="single" w:sz="4" w:space="0" w:color="auto"/>
              <w:right w:val="single" w:sz="4" w:space="0" w:color="auto"/>
            </w:tcBorders>
            <w:shd w:val="clear" w:color="auto" w:fill="auto"/>
            <w:noWrap/>
            <w:vAlign w:val="center"/>
            <w:hideMark/>
          </w:tcPr>
          <w:p w14:paraId="32CCF610" w14:textId="77777777" w:rsidR="00A6503C" w:rsidRPr="00553AEA" w:rsidRDefault="00A6503C" w:rsidP="00553AEA">
            <w:pPr>
              <w:jc w:val="right"/>
              <w:rPr>
                <w:rFonts w:ascii="Calibri" w:hAnsi="Calibri"/>
                <w:sz w:val="20"/>
                <w:szCs w:val="20"/>
              </w:rPr>
            </w:pPr>
            <w:r w:rsidRPr="00553AEA">
              <w:rPr>
                <w:rFonts w:ascii="Calibri" w:hAnsi="Calibri"/>
                <w:sz w:val="20"/>
                <w:szCs w:val="20"/>
              </w:rPr>
              <w:t>1.500,00</w:t>
            </w:r>
          </w:p>
        </w:tc>
        <w:tc>
          <w:tcPr>
            <w:tcW w:w="1320" w:type="dxa"/>
            <w:tcBorders>
              <w:top w:val="nil"/>
              <w:left w:val="nil"/>
              <w:bottom w:val="single" w:sz="4" w:space="0" w:color="auto"/>
              <w:right w:val="single" w:sz="4" w:space="0" w:color="auto"/>
            </w:tcBorders>
            <w:shd w:val="clear" w:color="auto" w:fill="auto"/>
            <w:noWrap/>
            <w:vAlign w:val="center"/>
            <w:hideMark/>
          </w:tcPr>
          <w:p w14:paraId="7C08910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1.500,00</w:t>
            </w:r>
          </w:p>
        </w:tc>
        <w:tc>
          <w:tcPr>
            <w:tcW w:w="1080" w:type="dxa"/>
            <w:tcBorders>
              <w:top w:val="nil"/>
              <w:left w:val="nil"/>
              <w:bottom w:val="single" w:sz="4" w:space="0" w:color="auto"/>
              <w:right w:val="single" w:sz="4" w:space="0" w:color="auto"/>
            </w:tcBorders>
            <w:shd w:val="clear" w:color="auto" w:fill="auto"/>
            <w:noWrap/>
            <w:vAlign w:val="center"/>
            <w:hideMark/>
          </w:tcPr>
          <w:p w14:paraId="6FB1F710" w14:textId="77777777" w:rsidR="00A6503C" w:rsidRPr="00553AEA" w:rsidRDefault="00A6503C" w:rsidP="00553AEA">
            <w:pPr>
              <w:jc w:val="center"/>
              <w:rPr>
                <w:rFonts w:ascii="Calibri" w:hAnsi="Calibri"/>
                <w:sz w:val="20"/>
                <w:szCs w:val="20"/>
              </w:rPr>
            </w:pPr>
            <w:r w:rsidRPr="00553AEA">
              <w:rPr>
                <w:rFonts w:ascii="Calibri" w:hAnsi="Calibri"/>
                <w:sz w:val="20"/>
                <w:szCs w:val="20"/>
              </w:rPr>
              <w:t>100,00</w:t>
            </w:r>
          </w:p>
        </w:tc>
      </w:tr>
      <w:tr w:rsidR="00A6503C" w:rsidRPr="00553AEA" w14:paraId="7E22C7A1"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818E59E" w14:textId="77777777" w:rsidR="00A6503C" w:rsidRPr="00553AEA" w:rsidRDefault="00A6503C" w:rsidP="00553AEA">
            <w:pPr>
              <w:jc w:val="center"/>
              <w:rPr>
                <w:rFonts w:ascii="Calibri" w:hAnsi="Calibri"/>
                <w:sz w:val="20"/>
                <w:szCs w:val="20"/>
              </w:rPr>
            </w:pPr>
            <w:r w:rsidRPr="00553AEA">
              <w:rPr>
                <w:rFonts w:ascii="Calibri" w:hAnsi="Calibri"/>
                <w:sz w:val="20"/>
                <w:szCs w:val="20"/>
              </w:rPr>
              <w:t>6664</w:t>
            </w:r>
          </w:p>
        </w:tc>
        <w:tc>
          <w:tcPr>
            <w:tcW w:w="4320" w:type="dxa"/>
            <w:tcBorders>
              <w:top w:val="nil"/>
              <w:left w:val="nil"/>
              <w:bottom w:val="single" w:sz="4" w:space="0" w:color="auto"/>
              <w:right w:val="single" w:sz="4" w:space="0" w:color="auto"/>
            </w:tcBorders>
            <w:shd w:val="clear" w:color="auto" w:fill="auto"/>
            <w:vAlign w:val="center"/>
            <w:hideMark/>
          </w:tcPr>
          <w:p w14:paraId="0E2D92B4" w14:textId="77777777" w:rsidR="00A6503C" w:rsidRPr="00553AEA" w:rsidRDefault="00A6503C" w:rsidP="00553AEA">
            <w:pPr>
              <w:jc w:val="left"/>
              <w:rPr>
                <w:rFonts w:ascii="Calibri" w:hAnsi="Calibri"/>
                <w:sz w:val="20"/>
                <w:szCs w:val="20"/>
              </w:rPr>
            </w:pPr>
            <w:r w:rsidRPr="00553AEA">
              <w:rPr>
                <w:rFonts w:ascii="Calibri" w:hAnsi="Calibri"/>
                <w:sz w:val="20"/>
                <w:szCs w:val="20"/>
              </w:rPr>
              <w:t>Ostali troškovi - troškovi grijanja</w:t>
            </w:r>
          </w:p>
        </w:tc>
        <w:tc>
          <w:tcPr>
            <w:tcW w:w="1340" w:type="dxa"/>
            <w:tcBorders>
              <w:top w:val="nil"/>
              <w:left w:val="nil"/>
              <w:bottom w:val="single" w:sz="4" w:space="0" w:color="auto"/>
              <w:right w:val="single" w:sz="4" w:space="0" w:color="auto"/>
            </w:tcBorders>
            <w:shd w:val="clear" w:color="auto" w:fill="auto"/>
            <w:noWrap/>
            <w:vAlign w:val="center"/>
            <w:hideMark/>
          </w:tcPr>
          <w:p w14:paraId="0561AEA1" w14:textId="77777777" w:rsidR="00A6503C" w:rsidRPr="00553AEA" w:rsidRDefault="00A6503C" w:rsidP="00553AEA">
            <w:pPr>
              <w:jc w:val="right"/>
              <w:rPr>
                <w:rFonts w:ascii="Calibri" w:hAnsi="Calibri"/>
                <w:sz w:val="20"/>
                <w:szCs w:val="20"/>
              </w:rPr>
            </w:pPr>
            <w:r w:rsidRPr="00553AEA">
              <w:rPr>
                <w:rFonts w:ascii="Calibri" w:hAnsi="Calibri"/>
                <w:sz w:val="20"/>
                <w:szCs w:val="20"/>
              </w:rPr>
              <w:t>11.200,00</w:t>
            </w:r>
          </w:p>
        </w:tc>
        <w:tc>
          <w:tcPr>
            <w:tcW w:w="1320" w:type="dxa"/>
            <w:tcBorders>
              <w:top w:val="nil"/>
              <w:left w:val="nil"/>
              <w:bottom w:val="single" w:sz="4" w:space="0" w:color="auto"/>
              <w:right w:val="single" w:sz="4" w:space="0" w:color="auto"/>
            </w:tcBorders>
            <w:shd w:val="clear" w:color="auto" w:fill="auto"/>
            <w:noWrap/>
            <w:vAlign w:val="center"/>
            <w:hideMark/>
          </w:tcPr>
          <w:p w14:paraId="0F75028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5.670,58</w:t>
            </w:r>
          </w:p>
        </w:tc>
        <w:tc>
          <w:tcPr>
            <w:tcW w:w="1080" w:type="dxa"/>
            <w:tcBorders>
              <w:top w:val="nil"/>
              <w:left w:val="nil"/>
              <w:bottom w:val="single" w:sz="4" w:space="0" w:color="auto"/>
              <w:right w:val="single" w:sz="4" w:space="0" w:color="auto"/>
            </w:tcBorders>
            <w:shd w:val="clear" w:color="auto" w:fill="auto"/>
            <w:noWrap/>
            <w:vAlign w:val="center"/>
            <w:hideMark/>
          </w:tcPr>
          <w:p w14:paraId="16EF8735" w14:textId="77777777" w:rsidR="00A6503C" w:rsidRPr="00553AEA" w:rsidRDefault="00A6503C" w:rsidP="00553AEA">
            <w:pPr>
              <w:jc w:val="center"/>
              <w:rPr>
                <w:rFonts w:ascii="Calibri" w:hAnsi="Calibri"/>
                <w:sz w:val="20"/>
                <w:szCs w:val="20"/>
              </w:rPr>
            </w:pPr>
            <w:r w:rsidRPr="00553AEA">
              <w:rPr>
                <w:rFonts w:ascii="Calibri" w:hAnsi="Calibri"/>
                <w:sz w:val="20"/>
                <w:szCs w:val="20"/>
              </w:rPr>
              <w:t>50,63</w:t>
            </w:r>
          </w:p>
        </w:tc>
      </w:tr>
      <w:tr w:rsidR="00A6503C" w:rsidRPr="00553AEA" w14:paraId="61A16A25"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751615A" w14:textId="77777777" w:rsidR="00A6503C" w:rsidRPr="00553AEA" w:rsidRDefault="00A6503C" w:rsidP="00553AEA">
            <w:pPr>
              <w:jc w:val="center"/>
              <w:rPr>
                <w:rFonts w:ascii="Calibri" w:hAnsi="Calibri"/>
                <w:sz w:val="20"/>
                <w:szCs w:val="20"/>
              </w:rPr>
            </w:pPr>
            <w:r w:rsidRPr="00553AEA">
              <w:rPr>
                <w:rFonts w:ascii="Calibri" w:hAnsi="Calibri"/>
                <w:sz w:val="20"/>
                <w:szCs w:val="20"/>
              </w:rPr>
              <w:t>6665</w:t>
            </w:r>
          </w:p>
        </w:tc>
        <w:tc>
          <w:tcPr>
            <w:tcW w:w="4320" w:type="dxa"/>
            <w:tcBorders>
              <w:top w:val="nil"/>
              <w:left w:val="nil"/>
              <w:bottom w:val="single" w:sz="4" w:space="0" w:color="auto"/>
              <w:right w:val="single" w:sz="4" w:space="0" w:color="auto"/>
            </w:tcBorders>
            <w:shd w:val="clear" w:color="auto" w:fill="auto"/>
            <w:vAlign w:val="center"/>
            <w:hideMark/>
          </w:tcPr>
          <w:p w14:paraId="281088E5"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 utrošena struja</w:t>
            </w:r>
          </w:p>
        </w:tc>
        <w:tc>
          <w:tcPr>
            <w:tcW w:w="1340" w:type="dxa"/>
            <w:tcBorders>
              <w:top w:val="nil"/>
              <w:left w:val="nil"/>
              <w:bottom w:val="single" w:sz="4" w:space="0" w:color="auto"/>
              <w:right w:val="single" w:sz="4" w:space="0" w:color="auto"/>
            </w:tcBorders>
            <w:shd w:val="clear" w:color="auto" w:fill="auto"/>
            <w:noWrap/>
            <w:vAlign w:val="center"/>
            <w:hideMark/>
          </w:tcPr>
          <w:p w14:paraId="1D6092CF" w14:textId="77777777" w:rsidR="00A6503C" w:rsidRPr="00553AEA" w:rsidRDefault="00A6503C" w:rsidP="00553AEA">
            <w:pPr>
              <w:jc w:val="right"/>
              <w:rPr>
                <w:rFonts w:ascii="Calibri" w:hAnsi="Calibri"/>
                <w:sz w:val="20"/>
                <w:szCs w:val="20"/>
              </w:rPr>
            </w:pPr>
            <w:r w:rsidRPr="00553AEA">
              <w:rPr>
                <w:rFonts w:ascii="Calibri" w:hAnsi="Calibri"/>
                <w:sz w:val="20"/>
                <w:szCs w:val="20"/>
              </w:rPr>
              <w:t>4.140,22</w:t>
            </w:r>
          </w:p>
        </w:tc>
        <w:tc>
          <w:tcPr>
            <w:tcW w:w="1320" w:type="dxa"/>
            <w:tcBorders>
              <w:top w:val="nil"/>
              <w:left w:val="nil"/>
              <w:bottom w:val="single" w:sz="4" w:space="0" w:color="auto"/>
              <w:right w:val="single" w:sz="4" w:space="0" w:color="auto"/>
            </w:tcBorders>
            <w:shd w:val="clear" w:color="auto" w:fill="auto"/>
            <w:noWrap/>
            <w:vAlign w:val="center"/>
            <w:hideMark/>
          </w:tcPr>
          <w:p w14:paraId="1CECCBF8"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3.138,93</w:t>
            </w:r>
          </w:p>
        </w:tc>
        <w:tc>
          <w:tcPr>
            <w:tcW w:w="1080" w:type="dxa"/>
            <w:tcBorders>
              <w:top w:val="nil"/>
              <w:left w:val="nil"/>
              <w:bottom w:val="single" w:sz="4" w:space="0" w:color="auto"/>
              <w:right w:val="single" w:sz="4" w:space="0" w:color="auto"/>
            </w:tcBorders>
            <w:shd w:val="clear" w:color="auto" w:fill="auto"/>
            <w:noWrap/>
            <w:vAlign w:val="center"/>
            <w:hideMark/>
          </w:tcPr>
          <w:p w14:paraId="4359A87C" w14:textId="77777777" w:rsidR="00A6503C" w:rsidRPr="00553AEA" w:rsidRDefault="00A6503C" w:rsidP="00553AEA">
            <w:pPr>
              <w:jc w:val="center"/>
              <w:rPr>
                <w:rFonts w:ascii="Calibri" w:hAnsi="Calibri"/>
                <w:sz w:val="20"/>
                <w:szCs w:val="20"/>
              </w:rPr>
            </w:pPr>
            <w:r w:rsidRPr="00553AEA">
              <w:rPr>
                <w:rFonts w:ascii="Calibri" w:hAnsi="Calibri"/>
                <w:sz w:val="20"/>
                <w:szCs w:val="20"/>
              </w:rPr>
              <w:t>75,82</w:t>
            </w:r>
          </w:p>
        </w:tc>
      </w:tr>
      <w:tr w:rsidR="00A6503C" w:rsidRPr="00553AEA" w14:paraId="51577A28"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8720A20" w14:textId="77777777" w:rsidR="00A6503C" w:rsidRPr="00553AEA" w:rsidRDefault="00A6503C" w:rsidP="00553AEA">
            <w:pPr>
              <w:jc w:val="center"/>
              <w:rPr>
                <w:rFonts w:ascii="Calibri" w:hAnsi="Calibri"/>
                <w:sz w:val="20"/>
                <w:szCs w:val="20"/>
              </w:rPr>
            </w:pPr>
            <w:r w:rsidRPr="00553AEA">
              <w:rPr>
                <w:rFonts w:ascii="Calibri" w:hAnsi="Calibri"/>
                <w:sz w:val="20"/>
                <w:szCs w:val="20"/>
              </w:rPr>
              <w:t>66660</w:t>
            </w:r>
          </w:p>
        </w:tc>
        <w:tc>
          <w:tcPr>
            <w:tcW w:w="4320" w:type="dxa"/>
            <w:tcBorders>
              <w:top w:val="nil"/>
              <w:left w:val="nil"/>
              <w:bottom w:val="single" w:sz="4" w:space="0" w:color="auto"/>
              <w:right w:val="single" w:sz="4" w:space="0" w:color="auto"/>
            </w:tcBorders>
            <w:shd w:val="clear" w:color="auto" w:fill="auto"/>
            <w:vAlign w:val="center"/>
            <w:hideMark/>
          </w:tcPr>
          <w:p w14:paraId="19FB2AB2"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naknada za šume</w:t>
            </w:r>
          </w:p>
        </w:tc>
        <w:tc>
          <w:tcPr>
            <w:tcW w:w="1340" w:type="dxa"/>
            <w:tcBorders>
              <w:top w:val="nil"/>
              <w:left w:val="nil"/>
              <w:bottom w:val="single" w:sz="4" w:space="0" w:color="auto"/>
              <w:right w:val="single" w:sz="4" w:space="0" w:color="auto"/>
            </w:tcBorders>
            <w:shd w:val="clear" w:color="auto" w:fill="auto"/>
            <w:noWrap/>
            <w:vAlign w:val="center"/>
            <w:hideMark/>
          </w:tcPr>
          <w:p w14:paraId="53A1A390" w14:textId="77777777" w:rsidR="00A6503C" w:rsidRPr="00553AEA" w:rsidRDefault="00A6503C" w:rsidP="00553AEA">
            <w:pPr>
              <w:jc w:val="right"/>
              <w:rPr>
                <w:rFonts w:ascii="Calibri" w:hAnsi="Calibri"/>
                <w:sz w:val="20"/>
                <w:szCs w:val="20"/>
              </w:rPr>
            </w:pPr>
            <w:r w:rsidRPr="00553AEA">
              <w:rPr>
                <w:rFonts w:ascii="Calibri" w:hAnsi="Calibri"/>
                <w:sz w:val="20"/>
                <w:szCs w:val="20"/>
              </w:rPr>
              <w:t>600,00</w:t>
            </w:r>
          </w:p>
        </w:tc>
        <w:tc>
          <w:tcPr>
            <w:tcW w:w="1320" w:type="dxa"/>
            <w:tcBorders>
              <w:top w:val="nil"/>
              <w:left w:val="nil"/>
              <w:bottom w:val="single" w:sz="4" w:space="0" w:color="auto"/>
              <w:right w:val="single" w:sz="4" w:space="0" w:color="auto"/>
            </w:tcBorders>
            <w:shd w:val="clear" w:color="auto" w:fill="auto"/>
            <w:noWrap/>
            <w:vAlign w:val="center"/>
            <w:hideMark/>
          </w:tcPr>
          <w:p w14:paraId="7B0CAE4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893,45</w:t>
            </w:r>
          </w:p>
        </w:tc>
        <w:tc>
          <w:tcPr>
            <w:tcW w:w="1080" w:type="dxa"/>
            <w:tcBorders>
              <w:top w:val="nil"/>
              <w:left w:val="nil"/>
              <w:bottom w:val="single" w:sz="4" w:space="0" w:color="auto"/>
              <w:right w:val="single" w:sz="4" w:space="0" w:color="auto"/>
            </w:tcBorders>
            <w:shd w:val="clear" w:color="auto" w:fill="auto"/>
            <w:noWrap/>
            <w:vAlign w:val="center"/>
            <w:hideMark/>
          </w:tcPr>
          <w:p w14:paraId="30874B10" w14:textId="77777777" w:rsidR="00A6503C" w:rsidRPr="00553AEA" w:rsidRDefault="00A6503C" w:rsidP="00553AEA">
            <w:pPr>
              <w:jc w:val="center"/>
              <w:rPr>
                <w:rFonts w:ascii="Calibri" w:hAnsi="Calibri"/>
                <w:sz w:val="20"/>
                <w:szCs w:val="20"/>
              </w:rPr>
            </w:pPr>
            <w:r w:rsidRPr="00553AEA">
              <w:rPr>
                <w:rFonts w:ascii="Calibri" w:hAnsi="Calibri"/>
                <w:sz w:val="20"/>
                <w:szCs w:val="20"/>
              </w:rPr>
              <w:t>148,91</w:t>
            </w:r>
          </w:p>
        </w:tc>
      </w:tr>
      <w:tr w:rsidR="00A6503C" w:rsidRPr="00553AEA" w14:paraId="3C2C0D70" w14:textId="77777777" w:rsidTr="001A4ADE">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3F6261A" w14:textId="77777777" w:rsidR="00A6503C" w:rsidRPr="00553AEA" w:rsidRDefault="00A6503C" w:rsidP="00553AEA">
            <w:pPr>
              <w:jc w:val="center"/>
              <w:rPr>
                <w:rFonts w:ascii="Calibri" w:hAnsi="Calibri"/>
                <w:sz w:val="20"/>
                <w:szCs w:val="20"/>
              </w:rPr>
            </w:pPr>
            <w:r w:rsidRPr="00553AEA">
              <w:rPr>
                <w:rFonts w:ascii="Calibri" w:hAnsi="Calibri"/>
                <w:sz w:val="20"/>
                <w:szCs w:val="20"/>
              </w:rPr>
              <w:t>66661</w:t>
            </w:r>
          </w:p>
        </w:tc>
        <w:tc>
          <w:tcPr>
            <w:tcW w:w="4320" w:type="dxa"/>
            <w:tcBorders>
              <w:top w:val="nil"/>
              <w:left w:val="nil"/>
              <w:bottom w:val="single" w:sz="4" w:space="0" w:color="auto"/>
              <w:right w:val="single" w:sz="4" w:space="0" w:color="auto"/>
            </w:tcBorders>
            <w:shd w:val="clear" w:color="auto" w:fill="auto"/>
            <w:vAlign w:val="center"/>
            <w:hideMark/>
          </w:tcPr>
          <w:p w14:paraId="3520778E"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protivpožarne naknade po godišnjem obračunu</w:t>
            </w:r>
          </w:p>
        </w:tc>
        <w:tc>
          <w:tcPr>
            <w:tcW w:w="1340" w:type="dxa"/>
            <w:tcBorders>
              <w:top w:val="nil"/>
              <w:left w:val="nil"/>
              <w:bottom w:val="single" w:sz="4" w:space="0" w:color="auto"/>
              <w:right w:val="single" w:sz="4" w:space="0" w:color="auto"/>
            </w:tcBorders>
            <w:shd w:val="clear" w:color="auto" w:fill="auto"/>
            <w:noWrap/>
            <w:vAlign w:val="center"/>
            <w:hideMark/>
          </w:tcPr>
          <w:p w14:paraId="399760B2" w14:textId="77777777" w:rsidR="00A6503C" w:rsidRPr="00553AEA" w:rsidRDefault="00A6503C" w:rsidP="00553AEA">
            <w:pPr>
              <w:jc w:val="right"/>
              <w:rPr>
                <w:rFonts w:ascii="Calibri" w:hAnsi="Calibri"/>
                <w:sz w:val="20"/>
                <w:szCs w:val="20"/>
              </w:rPr>
            </w:pPr>
            <w:r w:rsidRPr="00553AEA">
              <w:rPr>
                <w:rFonts w:ascii="Calibri" w:hAnsi="Calibri"/>
                <w:sz w:val="20"/>
                <w:szCs w:val="20"/>
              </w:rPr>
              <w:t>190,00</w:t>
            </w:r>
          </w:p>
        </w:tc>
        <w:tc>
          <w:tcPr>
            <w:tcW w:w="1320" w:type="dxa"/>
            <w:tcBorders>
              <w:top w:val="nil"/>
              <w:left w:val="nil"/>
              <w:bottom w:val="single" w:sz="4" w:space="0" w:color="auto"/>
              <w:right w:val="single" w:sz="4" w:space="0" w:color="auto"/>
            </w:tcBorders>
            <w:shd w:val="clear" w:color="auto" w:fill="auto"/>
            <w:noWrap/>
            <w:vAlign w:val="center"/>
            <w:hideMark/>
          </w:tcPr>
          <w:p w14:paraId="7F656BE5"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351,03</w:t>
            </w:r>
          </w:p>
        </w:tc>
        <w:tc>
          <w:tcPr>
            <w:tcW w:w="1080" w:type="dxa"/>
            <w:tcBorders>
              <w:top w:val="nil"/>
              <w:left w:val="nil"/>
              <w:bottom w:val="single" w:sz="4" w:space="0" w:color="auto"/>
              <w:right w:val="single" w:sz="4" w:space="0" w:color="auto"/>
            </w:tcBorders>
            <w:shd w:val="clear" w:color="auto" w:fill="auto"/>
            <w:noWrap/>
            <w:vAlign w:val="center"/>
            <w:hideMark/>
          </w:tcPr>
          <w:p w14:paraId="70E92B39" w14:textId="77777777" w:rsidR="00A6503C" w:rsidRPr="00553AEA" w:rsidRDefault="00A6503C" w:rsidP="00553AEA">
            <w:pPr>
              <w:jc w:val="center"/>
              <w:rPr>
                <w:rFonts w:ascii="Calibri" w:hAnsi="Calibri"/>
                <w:sz w:val="20"/>
                <w:szCs w:val="20"/>
              </w:rPr>
            </w:pPr>
            <w:r w:rsidRPr="00553AEA">
              <w:rPr>
                <w:rFonts w:ascii="Calibri" w:hAnsi="Calibri"/>
                <w:sz w:val="20"/>
                <w:szCs w:val="20"/>
              </w:rPr>
              <w:t>184,75</w:t>
            </w:r>
          </w:p>
        </w:tc>
      </w:tr>
      <w:tr w:rsidR="00A6503C" w:rsidRPr="00553AEA" w14:paraId="5DEBC17B"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10C528A" w14:textId="77777777" w:rsidR="00A6503C" w:rsidRPr="00553AEA" w:rsidRDefault="00A6503C" w:rsidP="00553AEA">
            <w:pPr>
              <w:jc w:val="center"/>
              <w:rPr>
                <w:rFonts w:ascii="Calibri" w:hAnsi="Calibri"/>
                <w:sz w:val="20"/>
                <w:szCs w:val="20"/>
              </w:rPr>
            </w:pPr>
            <w:r w:rsidRPr="00553AEA">
              <w:rPr>
                <w:rFonts w:ascii="Calibri" w:hAnsi="Calibri"/>
                <w:sz w:val="20"/>
                <w:szCs w:val="20"/>
              </w:rPr>
              <w:t>6667</w:t>
            </w:r>
          </w:p>
        </w:tc>
        <w:tc>
          <w:tcPr>
            <w:tcW w:w="4320" w:type="dxa"/>
            <w:tcBorders>
              <w:top w:val="nil"/>
              <w:left w:val="nil"/>
              <w:bottom w:val="single" w:sz="4" w:space="0" w:color="auto"/>
              <w:right w:val="single" w:sz="4" w:space="0" w:color="auto"/>
            </w:tcBorders>
            <w:shd w:val="clear" w:color="auto" w:fill="auto"/>
            <w:vAlign w:val="center"/>
            <w:hideMark/>
          </w:tcPr>
          <w:p w14:paraId="50C72B3C"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registracije putničkog vozila</w:t>
            </w:r>
          </w:p>
        </w:tc>
        <w:tc>
          <w:tcPr>
            <w:tcW w:w="1340" w:type="dxa"/>
            <w:tcBorders>
              <w:top w:val="nil"/>
              <w:left w:val="nil"/>
              <w:bottom w:val="single" w:sz="4" w:space="0" w:color="auto"/>
              <w:right w:val="single" w:sz="4" w:space="0" w:color="auto"/>
            </w:tcBorders>
            <w:shd w:val="clear" w:color="auto" w:fill="auto"/>
            <w:noWrap/>
            <w:vAlign w:val="center"/>
            <w:hideMark/>
          </w:tcPr>
          <w:p w14:paraId="03D271FF" w14:textId="77777777" w:rsidR="00A6503C" w:rsidRPr="00553AEA" w:rsidRDefault="00A6503C" w:rsidP="00553AEA">
            <w:pPr>
              <w:jc w:val="right"/>
              <w:rPr>
                <w:rFonts w:ascii="Calibri" w:hAnsi="Calibri"/>
                <w:sz w:val="20"/>
                <w:szCs w:val="20"/>
              </w:rPr>
            </w:pPr>
            <w:r w:rsidRPr="00553AEA">
              <w:rPr>
                <w:rFonts w:ascii="Calibri" w:hAnsi="Calibri"/>
                <w:sz w:val="20"/>
                <w:szCs w:val="20"/>
              </w:rPr>
              <w:t>3.500,00</w:t>
            </w:r>
          </w:p>
        </w:tc>
        <w:tc>
          <w:tcPr>
            <w:tcW w:w="1320" w:type="dxa"/>
            <w:tcBorders>
              <w:top w:val="nil"/>
              <w:left w:val="nil"/>
              <w:bottom w:val="single" w:sz="4" w:space="0" w:color="auto"/>
              <w:right w:val="single" w:sz="4" w:space="0" w:color="auto"/>
            </w:tcBorders>
            <w:shd w:val="clear" w:color="auto" w:fill="auto"/>
            <w:noWrap/>
            <w:vAlign w:val="center"/>
            <w:hideMark/>
          </w:tcPr>
          <w:p w14:paraId="3B6BF05F"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2.552,81</w:t>
            </w:r>
          </w:p>
        </w:tc>
        <w:tc>
          <w:tcPr>
            <w:tcW w:w="1080" w:type="dxa"/>
            <w:tcBorders>
              <w:top w:val="nil"/>
              <w:left w:val="nil"/>
              <w:bottom w:val="single" w:sz="4" w:space="0" w:color="auto"/>
              <w:right w:val="single" w:sz="4" w:space="0" w:color="auto"/>
            </w:tcBorders>
            <w:shd w:val="clear" w:color="auto" w:fill="auto"/>
            <w:noWrap/>
            <w:vAlign w:val="center"/>
            <w:hideMark/>
          </w:tcPr>
          <w:p w14:paraId="36F130D9" w14:textId="77777777" w:rsidR="00A6503C" w:rsidRPr="00553AEA" w:rsidRDefault="00A6503C" w:rsidP="00553AEA">
            <w:pPr>
              <w:jc w:val="center"/>
              <w:rPr>
                <w:rFonts w:ascii="Calibri" w:hAnsi="Calibri"/>
                <w:sz w:val="20"/>
                <w:szCs w:val="20"/>
              </w:rPr>
            </w:pPr>
            <w:r w:rsidRPr="00553AEA">
              <w:rPr>
                <w:rFonts w:ascii="Calibri" w:hAnsi="Calibri"/>
                <w:sz w:val="20"/>
                <w:szCs w:val="20"/>
              </w:rPr>
              <w:t>72,94</w:t>
            </w:r>
          </w:p>
        </w:tc>
      </w:tr>
      <w:tr w:rsidR="00A6503C" w:rsidRPr="00553AEA" w14:paraId="40DDDC02"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86A84EB" w14:textId="77777777" w:rsidR="00A6503C" w:rsidRPr="00553AEA" w:rsidRDefault="00A6503C" w:rsidP="00553AEA">
            <w:pPr>
              <w:jc w:val="center"/>
              <w:rPr>
                <w:rFonts w:ascii="Calibri" w:hAnsi="Calibri"/>
                <w:sz w:val="20"/>
                <w:szCs w:val="20"/>
              </w:rPr>
            </w:pPr>
            <w:r w:rsidRPr="00553AEA">
              <w:rPr>
                <w:rFonts w:ascii="Calibri" w:hAnsi="Calibri"/>
                <w:sz w:val="20"/>
                <w:szCs w:val="20"/>
              </w:rPr>
              <w:t>6668</w:t>
            </w:r>
          </w:p>
        </w:tc>
        <w:tc>
          <w:tcPr>
            <w:tcW w:w="4320" w:type="dxa"/>
            <w:tcBorders>
              <w:top w:val="nil"/>
              <w:left w:val="nil"/>
              <w:bottom w:val="single" w:sz="4" w:space="0" w:color="auto"/>
              <w:right w:val="single" w:sz="4" w:space="0" w:color="auto"/>
            </w:tcBorders>
            <w:shd w:val="clear" w:color="auto" w:fill="auto"/>
            <w:vAlign w:val="center"/>
            <w:hideMark/>
          </w:tcPr>
          <w:p w14:paraId="697A0129" w14:textId="77777777" w:rsidR="00A6503C" w:rsidRPr="00553AEA" w:rsidRDefault="00A6503C" w:rsidP="00553AEA">
            <w:pPr>
              <w:jc w:val="left"/>
              <w:rPr>
                <w:rFonts w:ascii="Calibri" w:hAnsi="Calibri"/>
                <w:sz w:val="20"/>
                <w:szCs w:val="20"/>
              </w:rPr>
            </w:pPr>
            <w:r w:rsidRPr="00553AEA">
              <w:rPr>
                <w:rFonts w:ascii="Calibri" w:hAnsi="Calibri"/>
                <w:sz w:val="20"/>
                <w:szCs w:val="20"/>
              </w:rPr>
              <w:t>Troškovi održavanja putničkog vozila</w:t>
            </w:r>
          </w:p>
        </w:tc>
        <w:tc>
          <w:tcPr>
            <w:tcW w:w="1340" w:type="dxa"/>
            <w:tcBorders>
              <w:top w:val="nil"/>
              <w:left w:val="nil"/>
              <w:bottom w:val="single" w:sz="4" w:space="0" w:color="auto"/>
              <w:right w:val="single" w:sz="4" w:space="0" w:color="auto"/>
            </w:tcBorders>
            <w:shd w:val="clear" w:color="auto" w:fill="auto"/>
            <w:noWrap/>
            <w:vAlign w:val="center"/>
            <w:hideMark/>
          </w:tcPr>
          <w:p w14:paraId="088B8147" w14:textId="77777777" w:rsidR="00A6503C" w:rsidRPr="00553AEA" w:rsidRDefault="00A6503C" w:rsidP="00553AEA">
            <w:pPr>
              <w:jc w:val="right"/>
              <w:rPr>
                <w:rFonts w:ascii="Calibri" w:hAnsi="Calibri"/>
                <w:sz w:val="20"/>
                <w:szCs w:val="20"/>
              </w:rPr>
            </w:pPr>
            <w:r w:rsidRPr="00553AEA">
              <w:rPr>
                <w:rFonts w:ascii="Calibri" w:hAnsi="Calibri"/>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14:paraId="6AEB2C2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5.314,66</w:t>
            </w:r>
          </w:p>
        </w:tc>
        <w:tc>
          <w:tcPr>
            <w:tcW w:w="1080" w:type="dxa"/>
            <w:tcBorders>
              <w:top w:val="nil"/>
              <w:left w:val="nil"/>
              <w:bottom w:val="single" w:sz="4" w:space="0" w:color="auto"/>
              <w:right w:val="single" w:sz="4" w:space="0" w:color="auto"/>
            </w:tcBorders>
            <w:shd w:val="clear" w:color="auto" w:fill="auto"/>
            <w:noWrap/>
            <w:vAlign w:val="center"/>
            <w:hideMark/>
          </w:tcPr>
          <w:p w14:paraId="5B0A9AB4" w14:textId="77777777" w:rsidR="00A6503C" w:rsidRPr="00553AEA" w:rsidRDefault="00A6503C" w:rsidP="00553AEA">
            <w:pPr>
              <w:jc w:val="center"/>
              <w:rPr>
                <w:rFonts w:ascii="Calibri" w:hAnsi="Calibri"/>
                <w:sz w:val="20"/>
                <w:szCs w:val="20"/>
              </w:rPr>
            </w:pPr>
            <w:r w:rsidRPr="00553AEA">
              <w:rPr>
                <w:rFonts w:ascii="Calibri" w:hAnsi="Calibri"/>
                <w:sz w:val="20"/>
                <w:szCs w:val="20"/>
              </w:rPr>
              <w:t>66,43</w:t>
            </w:r>
          </w:p>
        </w:tc>
      </w:tr>
      <w:tr w:rsidR="00A6503C" w:rsidRPr="00553AEA" w14:paraId="56066A1C"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1A4E12CB"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670</w:t>
            </w:r>
          </w:p>
        </w:tc>
        <w:tc>
          <w:tcPr>
            <w:tcW w:w="4320" w:type="dxa"/>
            <w:tcBorders>
              <w:top w:val="nil"/>
              <w:left w:val="nil"/>
              <w:bottom w:val="single" w:sz="4" w:space="0" w:color="auto"/>
              <w:right w:val="single" w:sz="4" w:space="0" w:color="auto"/>
            </w:tcBorders>
            <w:shd w:val="clear" w:color="000000" w:fill="C5D9F1"/>
            <w:vAlign w:val="center"/>
            <w:hideMark/>
          </w:tcPr>
          <w:p w14:paraId="4033B5F6" w14:textId="4CC8564B" w:rsidR="00A6503C" w:rsidRPr="00553AEA" w:rsidRDefault="002C563F" w:rsidP="00553AEA">
            <w:pPr>
              <w:jc w:val="left"/>
              <w:rPr>
                <w:rFonts w:ascii="Calibri" w:hAnsi="Calibri"/>
                <w:b/>
                <w:bCs/>
                <w:sz w:val="20"/>
                <w:szCs w:val="20"/>
              </w:rPr>
            </w:pPr>
            <w:r>
              <w:rPr>
                <w:rFonts w:ascii="Calibri" w:hAnsi="Calibri"/>
                <w:b/>
                <w:bCs/>
                <w:sz w:val="20"/>
                <w:szCs w:val="20"/>
              </w:rPr>
              <w:t xml:space="preserve">Rashod indirektnih otpisa plasmana </w:t>
            </w:r>
          </w:p>
        </w:tc>
        <w:tc>
          <w:tcPr>
            <w:tcW w:w="1340" w:type="dxa"/>
            <w:tcBorders>
              <w:top w:val="nil"/>
              <w:left w:val="nil"/>
              <w:bottom w:val="single" w:sz="4" w:space="0" w:color="auto"/>
              <w:right w:val="single" w:sz="4" w:space="0" w:color="auto"/>
            </w:tcBorders>
            <w:shd w:val="clear" w:color="000000" w:fill="C5D9F1"/>
            <w:noWrap/>
            <w:vAlign w:val="center"/>
            <w:hideMark/>
          </w:tcPr>
          <w:p w14:paraId="1AD86B65"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5.000,00</w:t>
            </w:r>
          </w:p>
        </w:tc>
        <w:tc>
          <w:tcPr>
            <w:tcW w:w="1320" w:type="dxa"/>
            <w:tcBorders>
              <w:top w:val="nil"/>
              <w:left w:val="nil"/>
              <w:bottom w:val="single" w:sz="4" w:space="0" w:color="auto"/>
              <w:right w:val="single" w:sz="4" w:space="0" w:color="auto"/>
            </w:tcBorders>
            <w:shd w:val="clear" w:color="000000" w:fill="C5D9F1"/>
            <w:noWrap/>
            <w:vAlign w:val="center"/>
            <w:hideMark/>
          </w:tcPr>
          <w:p w14:paraId="7B9CD10A"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28.472,77</w:t>
            </w:r>
          </w:p>
        </w:tc>
        <w:tc>
          <w:tcPr>
            <w:tcW w:w="1080" w:type="dxa"/>
            <w:tcBorders>
              <w:top w:val="nil"/>
              <w:left w:val="nil"/>
              <w:bottom w:val="single" w:sz="4" w:space="0" w:color="auto"/>
              <w:right w:val="single" w:sz="4" w:space="0" w:color="auto"/>
            </w:tcBorders>
            <w:shd w:val="clear" w:color="000000" w:fill="C5D9F1"/>
            <w:noWrap/>
            <w:vAlign w:val="center"/>
            <w:hideMark/>
          </w:tcPr>
          <w:p w14:paraId="4A0C542F"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569,46</w:t>
            </w:r>
          </w:p>
        </w:tc>
      </w:tr>
      <w:tr w:rsidR="00A6503C" w:rsidRPr="00553AEA" w14:paraId="728F6991"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F21A89C" w14:textId="77777777" w:rsidR="00A6503C" w:rsidRPr="00553AEA" w:rsidRDefault="00A6503C" w:rsidP="00553AEA">
            <w:pPr>
              <w:jc w:val="center"/>
              <w:rPr>
                <w:rFonts w:ascii="Calibri" w:hAnsi="Calibri"/>
                <w:sz w:val="20"/>
                <w:szCs w:val="20"/>
              </w:rPr>
            </w:pPr>
            <w:r w:rsidRPr="00553AEA">
              <w:rPr>
                <w:rFonts w:ascii="Calibri" w:hAnsi="Calibri"/>
                <w:sz w:val="20"/>
                <w:szCs w:val="20"/>
              </w:rPr>
              <w:t>6701</w:t>
            </w:r>
          </w:p>
        </w:tc>
        <w:tc>
          <w:tcPr>
            <w:tcW w:w="4320" w:type="dxa"/>
            <w:tcBorders>
              <w:top w:val="nil"/>
              <w:left w:val="nil"/>
              <w:bottom w:val="single" w:sz="4" w:space="0" w:color="auto"/>
              <w:right w:val="single" w:sz="4" w:space="0" w:color="auto"/>
            </w:tcBorders>
            <w:shd w:val="clear" w:color="auto" w:fill="auto"/>
            <w:vAlign w:val="center"/>
            <w:hideMark/>
          </w:tcPr>
          <w:p w14:paraId="594E4CDA" w14:textId="77777777" w:rsidR="00A6503C" w:rsidRPr="00553AEA" w:rsidRDefault="00A6503C" w:rsidP="00553AEA">
            <w:pPr>
              <w:jc w:val="left"/>
              <w:rPr>
                <w:rFonts w:ascii="Calibri" w:hAnsi="Calibri"/>
                <w:sz w:val="20"/>
                <w:szCs w:val="20"/>
              </w:rPr>
            </w:pPr>
            <w:r w:rsidRPr="00553AEA">
              <w:rPr>
                <w:rFonts w:ascii="Calibri" w:hAnsi="Calibri"/>
                <w:sz w:val="20"/>
                <w:szCs w:val="20"/>
              </w:rPr>
              <w:t>Rashodi po osnovu otpisa premije za rizik</w:t>
            </w:r>
          </w:p>
        </w:tc>
        <w:tc>
          <w:tcPr>
            <w:tcW w:w="1340" w:type="dxa"/>
            <w:tcBorders>
              <w:top w:val="nil"/>
              <w:left w:val="nil"/>
              <w:bottom w:val="single" w:sz="4" w:space="0" w:color="auto"/>
              <w:right w:val="single" w:sz="4" w:space="0" w:color="auto"/>
            </w:tcBorders>
            <w:shd w:val="clear" w:color="auto" w:fill="auto"/>
            <w:noWrap/>
            <w:vAlign w:val="center"/>
            <w:hideMark/>
          </w:tcPr>
          <w:p w14:paraId="2BE71B6B"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5.000,00</w:t>
            </w:r>
          </w:p>
        </w:tc>
        <w:tc>
          <w:tcPr>
            <w:tcW w:w="1320" w:type="dxa"/>
            <w:tcBorders>
              <w:top w:val="nil"/>
              <w:left w:val="nil"/>
              <w:bottom w:val="single" w:sz="4" w:space="0" w:color="auto"/>
              <w:right w:val="single" w:sz="4" w:space="0" w:color="auto"/>
            </w:tcBorders>
            <w:shd w:val="clear" w:color="auto" w:fill="auto"/>
            <w:noWrap/>
            <w:vAlign w:val="center"/>
            <w:hideMark/>
          </w:tcPr>
          <w:p w14:paraId="5C1391A4"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27.752,81</w:t>
            </w:r>
          </w:p>
        </w:tc>
        <w:tc>
          <w:tcPr>
            <w:tcW w:w="1080" w:type="dxa"/>
            <w:tcBorders>
              <w:top w:val="nil"/>
              <w:left w:val="nil"/>
              <w:bottom w:val="single" w:sz="4" w:space="0" w:color="auto"/>
              <w:right w:val="single" w:sz="4" w:space="0" w:color="auto"/>
            </w:tcBorders>
            <w:shd w:val="clear" w:color="auto" w:fill="auto"/>
            <w:noWrap/>
            <w:vAlign w:val="center"/>
            <w:hideMark/>
          </w:tcPr>
          <w:p w14:paraId="75C71C23" w14:textId="77777777" w:rsidR="00A6503C" w:rsidRPr="00553AEA" w:rsidRDefault="00A6503C" w:rsidP="00553AEA">
            <w:pPr>
              <w:jc w:val="center"/>
              <w:rPr>
                <w:rFonts w:ascii="Calibri" w:hAnsi="Calibri"/>
                <w:sz w:val="20"/>
                <w:szCs w:val="20"/>
              </w:rPr>
            </w:pPr>
            <w:r w:rsidRPr="00553AEA">
              <w:rPr>
                <w:rFonts w:ascii="Calibri" w:hAnsi="Calibri"/>
                <w:sz w:val="20"/>
                <w:szCs w:val="20"/>
              </w:rPr>
              <w:t>555,06</w:t>
            </w:r>
          </w:p>
        </w:tc>
      </w:tr>
      <w:tr w:rsidR="00A6503C" w:rsidRPr="00553AEA" w14:paraId="18D2BCDE"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2D1CD73" w14:textId="77777777" w:rsidR="00A6503C" w:rsidRPr="00553AEA" w:rsidRDefault="00A6503C" w:rsidP="00553AEA">
            <w:pPr>
              <w:jc w:val="center"/>
              <w:rPr>
                <w:rFonts w:ascii="Calibri" w:hAnsi="Calibri"/>
                <w:sz w:val="20"/>
                <w:szCs w:val="20"/>
              </w:rPr>
            </w:pPr>
            <w:r w:rsidRPr="00553AEA">
              <w:rPr>
                <w:rFonts w:ascii="Calibri" w:hAnsi="Calibri"/>
                <w:sz w:val="20"/>
                <w:szCs w:val="20"/>
              </w:rPr>
              <w:t>6720</w:t>
            </w:r>
          </w:p>
        </w:tc>
        <w:tc>
          <w:tcPr>
            <w:tcW w:w="4320" w:type="dxa"/>
            <w:tcBorders>
              <w:top w:val="nil"/>
              <w:left w:val="nil"/>
              <w:bottom w:val="single" w:sz="4" w:space="0" w:color="auto"/>
              <w:right w:val="single" w:sz="4" w:space="0" w:color="auto"/>
            </w:tcBorders>
            <w:shd w:val="clear" w:color="auto" w:fill="auto"/>
            <w:vAlign w:val="center"/>
            <w:hideMark/>
          </w:tcPr>
          <w:p w14:paraId="45C36C4D" w14:textId="77777777" w:rsidR="00A6503C" w:rsidRPr="00553AEA" w:rsidRDefault="00A6503C" w:rsidP="00553AEA">
            <w:pPr>
              <w:jc w:val="left"/>
              <w:rPr>
                <w:rFonts w:ascii="Calibri" w:hAnsi="Calibri"/>
                <w:sz w:val="20"/>
                <w:szCs w:val="20"/>
              </w:rPr>
            </w:pPr>
            <w:r w:rsidRPr="00553AEA">
              <w:rPr>
                <w:rFonts w:ascii="Calibri" w:hAnsi="Calibri"/>
                <w:sz w:val="20"/>
                <w:szCs w:val="20"/>
              </w:rPr>
              <w:t>Auto gume u upotrebi</w:t>
            </w:r>
          </w:p>
        </w:tc>
        <w:tc>
          <w:tcPr>
            <w:tcW w:w="1340" w:type="dxa"/>
            <w:tcBorders>
              <w:top w:val="nil"/>
              <w:left w:val="nil"/>
              <w:bottom w:val="single" w:sz="4" w:space="0" w:color="auto"/>
              <w:right w:val="single" w:sz="4" w:space="0" w:color="auto"/>
            </w:tcBorders>
            <w:shd w:val="clear" w:color="auto" w:fill="auto"/>
            <w:noWrap/>
            <w:vAlign w:val="center"/>
            <w:hideMark/>
          </w:tcPr>
          <w:p w14:paraId="751E904D"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14:paraId="3092D202"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719,96</w:t>
            </w:r>
          </w:p>
        </w:tc>
        <w:tc>
          <w:tcPr>
            <w:tcW w:w="1080" w:type="dxa"/>
            <w:tcBorders>
              <w:top w:val="nil"/>
              <w:left w:val="nil"/>
              <w:bottom w:val="single" w:sz="4" w:space="0" w:color="auto"/>
              <w:right w:val="single" w:sz="4" w:space="0" w:color="auto"/>
            </w:tcBorders>
            <w:shd w:val="clear" w:color="auto" w:fill="auto"/>
            <w:noWrap/>
            <w:vAlign w:val="center"/>
            <w:hideMark/>
          </w:tcPr>
          <w:p w14:paraId="0B8F7045"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65B2749B" w14:textId="77777777" w:rsidTr="001A4ADE">
        <w:trPr>
          <w:trHeight w:val="315"/>
        </w:trPr>
        <w:tc>
          <w:tcPr>
            <w:tcW w:w="880" w:type="dxa"/>
            <w:tcBorders>
              <w:top w:val="nil"/>
              <w:left w:val="single" w:sz="4" w:space="0" w:color="auto"/>
              <w:bottom w:val="single" w:sz="4" w:space="0" w:color="auto"/>
              <w:right w:val="single" w:sz="4" w:space="0" w:color="auto"/>
            </w:tcBorders>
            <w:shd w:val="clear" w:color="000000" w:fill="C5D9F1"/>
            <w:noWrap/>
            <w:vAlign w:val="center"/>
            <w:hideMark/>
          </w:tcPr>
          <w:p w14:paraId="67A45428"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678</w:t>
            </w:r>
          </w:p>
        </w:tc>
        <w:tc>
          <w:tcPr>
            <w:tcW w:w="4320" w:type="dxa"/>
            <w:tcBorders>
              <w:top w:val="nil"/>
              <w:left w:val="nil"/>
              <w:bottom w:val="single" w:sz="4" w:space="0" w:color="auto"/>
              <w:right w:val="single" w:sz="4" w:space="0" w:color="auto"/>
            </w:tcBorders>
            <w:shd w:val="clear" w:color="000000" w:fill="C5D9F1"/>
            <w:vAlign w:val="center"/>
            <w:hideMark/>
          </w:tcPr>
          <w:p w14:paraId="263D759F" w14:textId="203566B1" w:rsidR="00A6503C" w:rsidRPr="00553AEA" w:rsidRDefault="002C563F" w:rsidP="00553AEA">
            <w:pPr>
              <w:jc w:val="left"/>
              <w:rPr>
                <w:rFonts w:ascii="Calibri" w:hAnsi="Calibri"/>
                <w:b/>
                <w:bCs/>
                <w:sz w:val="20"/>
                <w:szCs w:val="20"/>
              </w:rPr>
            </w:pPr>
            <w:r>
              <w:rPr>
                <w:rFonts w:ascii="Calibri" w:hAnsi="Calibri"/>
                <w:b/>
                <w:bCs/>
                <w:sz w:val="20"/>
                <w:szCs w:val="20"/>
              </w:rPr>
              <w:t xml:space="preserve">Ostali rashodi </w:t>
            </w:r>
          </w:p>
        </w:tc>
        <w:tc>
          <w:tcPr>
            <w:tcW w:w="1340" w:type="dxa"/>
            <w:tcBorders>
              <w:top w:val="nil"/>
              <w:left w:val="nil"/>
              <w:bottom w:val="single" w:sz="4" w:space="0" w:color="auto"/>
              <w:right w:val="single" w:sz="4" w:space="0" w:color="auto"/>
            </w:tcBorders>
            <w:shd w:val="clear" w:color="000000" w:fill="C5D9F1"/>
            <w:noWrap/>
            <w:vAlign w:val="center"/>
            <w:hideMark/>
          </w:tcPr>
          <w:p w14:paraId="1ED62E9A"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7.500,00</w:t>
            </w:r>
          </w:p>
        </w:tc>
        <w:tc>
          <w:tcPr>
            <w:tcW w:w="1320" w:type="dxa"/>
            <w:tcBorders>
              <w:top w:val="nil"/>
              <w:left w:val="nil"/>
              <w:bottom w:val="single" w:sz="4" w:space="0" w:color="auto"/>
              <w:right w:val="single" w:sz="4" w:space="0" w:color="auto"/>
            </w:tcBorders>
            <w:shd w:val="clear" w:color="000000" w:fill="C5D9F1"/>
            <w:noWrap/>
            <w:vAlign w:val="center"/>
            <w:hideMark/>
          </w:tcPr>
          <w:p w14:paraId="19C69B9F"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420,26</w:t>
            </w:r>
          </w:p>
        </w:tc>
        <w:tc>
          <w:tcPr>
            <w:tcW w:w="1080" w:type="dxa"/>
            <w:tcBorders>
              <w:top w:val="nil"/>
              <w:left w:val="nil"/>
              <w:bottom w:val="single" w:sz="4" w:space="0" w:color="auto"/>
              <w:right w:val="single" w:sz="4" w:space="0" w:color="auto"/>
            </w:tcBorders>
            <w:shd w:val="clear" w:color="000000" w:fill="C5D9F1"/>
            <w:noWrap/>
            <w:vAlign w:val="center"/>
            <w:hideMark/>
          </w:tcPr>
          <w:p w14:paraId="734CD5C9"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5,60</w:t>
            </w:r>
          </w:p>
        </w:tc>
      </w:tr>
      <w:tr w:rsidR="00A6503C" w:rsidRPr="00553AEA" w14:paraId="14C2EFC4"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A30506E" w14:textId="77777777" w:rsidR="00A6503C" w:rsidRPr="00553AEA" w:rsidRDefault="00A6503C" w:rsidP="00553AEA">
            <w:pPr>
              <w:jc w:val="center"/>
              <w:rPr>
                <w:rFonts w:ascii="Calibri" w:hAnsi="Calibri"/>
                <w:sz w:val="20"/>
                <w:szCs w:val="20"/>
              </w:rPr>
            </w:pPr>
            <w:r w:rsidRPr="00553AEA">
              <w:rPr>
                <w:rFonts w:ascii="Calibri" w:hAnsi="Calibri"/>
                <w:sz w:val="20"/>
                <w:szCs w:val="20"/>
              </w:rPr>
              <w:t>680</w:t>
            </w:r>
          </w:p>
        </w:tc>
        <w:tc>
          <w:tcPr>
            <w:tcW w:w="4320" w:type="dxa"/>
            <w:tcBorders>
              <w:top w:val="nil"/>
              <w:left w:val="nil"/>
              <w:bottom w:val="single" w:sz="4" w:space="0" w:color="auto"/>
              <w:right w:val="single" w:sz="4" w:space="0" w:color="auto"/>
            </w:tcBorders>
            <w:shd w:val="clear" w:color="auto" w:fill="auto"/>
            <w:vAlign w:val="center"/>
            <w:hideMark/>
          </w:tcPr>
          <w:p w14:paraId="7A8A3192" w14:textId="77777777" w:rsidR="00A6503C" w:rsidRPr="00553AEA" w:rsidRDefault="00A6503C" w:rsidP="00553AEA">
            <w:pPr>
              <w:jc w:val="left"/>
              <w:rPr>
                <w:rFonts w:ascii="Calibri" w:hAnsi="Calibri"/>
                <w:sz w:val="20"/>
                <w:szCs w:val="20"/>
              </w:rPr>
            </w:pPr>
            <w:r w:rsidRPr="00553AEA">
              <w:rPr>
                <w:rFonts w:ascii="Calibri" w:hAnsi="Calibri"/>
                <w:sz w:val="20"/>
                <w:szCs w:val="20"/>
              </w:rPr>
              <w:t>Negativne kursne razlike</w:t>
            </w:r>
          </w:p>
        </w:tc>
        <w:tc>
          <w:tcPr>
            <w:tcW w:w="1340" w:type="dxa"/>
            <w:tcBorders>
              <w:top w:val="nil"/>
              <w:left w:val="nil"/>
              <w:bottom w:val="single" w:sz="4" w:space="0" w:color="auto"/>
              <w:right w:val="single" w:sz="4" w:space="0" w:color="auto"/>
            </w:tcBorders>
            <w:shd w:val="clear" w:color="auto" w:fill="auto"/>
            <w:noWrap/>
            <w:vAlign w:val="center"/>
            <w:hideMark/>
          </w:tcPr>
          <w:p w14:paraId="229CB549"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14:paraId="70E3861C"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42,82</w:t>
            </w:r>
          </w:p>
        </w:tc>
        <w:tc>
          <w:tcPr>
            <w:tcW w:w="1080" w:type="dxa"/>
            <w:tcBorders>
              <w:top w:val="nil"/>
              <w:left w:val="nil"/>
              <w:bottom w:val="single" w:sz="4" w:space="0" w:color="auto"/>
              <w:right w:val="single" w:sz="4" w:space="0" w:color="auto"/>
            </w:tcBorders>
            <w:shd w:val="clear" w:color="auto" w:fill="auto"/>
            <w:noWrap/>
            <w:vAlign w:val="center"/>
            <w:hideMark/>
          </w:tcPr>
          <w:p w14:paraId="639CE325"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5850336F" w14:textId="77777777" w:rsidTr="001A4ADE">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574E635" w14:textId="77777777" w:rsidR="00A6503C" w:rsidRPr="00553AEA" w:rsidRDefault="00A6503C" w:rsidP="00553AEA">
            <w:pPr>
              <w:jc w:val="center"/>
              <w:rPr>
                <w:rFonts w:ascii="Calibri" w:hAnsi="Calibri"/>
                <w:sz w:val="20"/>
                <w:szCs w:val="20"/>
              </w:rPr>
            </w:pPr>
            <w:r w:rsidRPr="00553AEA">
              <w:rPr>
                <w:rFonts w:ascii="Calibri" w:hAnsi="Calibri"/>
                <w:sz w:val="20"/>
                <w:szCs w:val="20"/>
              </w:rPr>
              <w:t>6783</w:t>
            </w:r>
          </w:p>
        </w:tc>
        <w:tc>
          <w:tcPr>
            <w:tcW w:w="4320" w:type="dxa"/>
            <w:tcBorders>
              <w:top w:val="nil"/>
              <w:left w:val="nil"/>
              <w:bottom w:val="single" w:sz="4" w:space="0" w:color="auto"/>
              <w:right w:val="single" w:sz="4" w:space="0" w:color="auto"/>
            </w:tcBorders>
            <w:shd w:val="clear" w:color="auto" w:fill="auto"/>
            <w:vAlign w:val="center"/>
            <w:hideMark/>
          </w:tcPr>
          <w:p w14:paraId="40B034FA" w14:textId="18E7B872" w:rsidR="00A6503C" w:rsidRPr="00553AEA" w:rsidRDefault="002C563F" w:rsidP="00553AEA">
            <w:pPr>
              <w:jc w:val="left"/>
              <w:rPr>
                <w:rFonts w:ascii="Calibri" w:hAnsi="Calibri"/>
                <w:sz w:val="20"/>
                <w:szCs w:val="20"/>
              </w:rPr>
            </w:pPr>
            <w:r>
              <w:rPr>
                <w:rFonts w:ascii="Calibri" w:hAnsi="Calibri"/>
                <w:sz w:val="20"/>
                <w:szCs w:val="20"/>
              </w:rPr>
              <w:t>Ostali rashodi</w:t>
            </w:r>
          </w:p>
        </w:tc>
        <w:tc>
          <w:tcPr>
            <w:tcW w:w="1340" w:type="dxa"/>
            <w:tcBorders>
              <w:top w:val="nil"/>
              <w:left w:val="nil"/>
              <w:bottom w:val="single" w:sz="4" w:space="0" w:color="auto"/>
              <w:right w:val="single" w:sz="4" w:space="0" w:color="auto"/>
            </w:tcBorders>
            <w:shd w:val="clear" w:color="auto" w:fill="auto"/>
            <w:noWrap/>
            <w:vAlign w:val="center"/>
            <w:hideMark/>
          </w:tcPr>
          <w:p w14:paraId="42ED3DBA"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14:paraId="2265D96C" w14:textId="77777777" w:rsidR="00A6503C" w:rsidRPr="00553AEA" w:rsidRDefault="00A6503C" w:rsidP="00553AEA">
            <w:pPr>
              <w:jc w:val="right"/>
              <w:rPr>
                <w:rFonts w:ascii="Calibri" w:hAnsi="Calibri"/>
                <w:color w:val="auto"/>
                <w:sz w:val="20"/>
                <w:szCs w:val="20"/>
              </w:rPr>
            </w:pPr>
            <w:r w:rsidRPr="00553AEA">
              <w:rPr>
                <w:rFonts w:ascii="Calibri" w:hAnsi="Calibri"/>
                <w:color w:val="auto"/>
                <w:sz w:val="20"/>
                <w:szCs w:val="20"/>
              </w:rPr>
              <w:t>377,44</w:t>
            </w:r>
          </w:p>
        </w:tc>
        <w:tc>
          <w:tcPr>
            <w:tcW w:w="1080" w:type="dxa"/>
            <w:tcBorders>
              <w:top w:val="nil"/>
              <w:left w:val="nil"/>
              <w:bottom w:val="single" w:sz="4" w:space="0" w:color="auto"/>
              <w:right w:val="single" w:sz="4" w:space="0" w:color="auto"/>
            </w:tcBorders>
            <w:shd w:val="clear" w:color="auto" w:fill="auto"/>
            <w:noWrap/>
            <w:vAlign w:val="center"/>
            <w:hideMark/>
          </w:tcPr>
          <w:p w14:paraId="3852B756" w14:textId="77777777" w:rsidR="00A6503C" w:rsidRPr="00553AEA" w:rsidRDefault="00A6503C" w:rsidP="00553AEA">
            <w:pPr>
              <w:jc w:val="center"/>
              <w:rPr>
                <w:rFonts w:ascii="Calibri" w:hAnsi="Calibri"/>
                <w:sz w:val="20"/>
                <w:szCs w:val="20"/>
              </w:rPr>
            </w:pPr>
            <w:r w:rsidRPr="00553AEA">
              <w:rPr>
                <w:rFonts w:ascii="Calibri" w:hAnsi="Calibri"/>
                <w:sz w:val="20"/>
                <w:szCs w:val="20"/>
              </w:rPr>
              <w:t> </w:t>
            </w:r>
          </w:p>
        </w:tc>
      </w:tr>
      <w:tr w:rsidR="00A6503C" w:rsidRPr="00553AEA" w14:paraId="7356D7FC" w14:textId="77777777" w:rsidTr="001A4ADE">
        <w:trPr>
          <w:trHeight w:val="423"/>
        </w:trPr>
        <w:tc>
          <w:tcPr>
            <w:tcW w:w="5200"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17D21752" w14:textId="789B7D34" w:rsidR="00A6503C" w:rsidRPr="00553AEA" w:rsidRDefault="00A6503C" w:rsidP="00553AEA">
            <w:pPr>
              <w:jc w:val="center"/>
              <w:rPr>
                <w:rFonts w:ascii="Calibri" w:hAnsi="Calibri"/>
                <w:b/>
                <w:bCs/>
                <w:sz w:val="20"/>
                <w:szCs w:val="20"/>
              </w:rPr>
            </w:pPr>
            <w:r w:rsidRPr="00553AEA">
              <w:rPr>
                <w:rFonts w:ascii="Calibri" w:hAnsi="Calibri"/>
                <w:b/>
                <w:bCs/>
                <w:sz w:val="20"/>
                <w:szCs w:val="20"/>
              </w:rPr>
              <w:t>Ukupn</w:t>
            </w:r>
            <w:r w:rsidR="001A4ADE">
              <w:rPr>
                <w:rFonts w:ascii="Calibri" w:hAnsi="Calibri"/>
                <w:b/>
                <w:bCs/>
                <w:sz w:val="20"/>
                <w:szCs w:val="20"/>
              </w:rPr>
              <w:t>o</w:t>
            </w:r>
            <w:r w:rsidRPr="00553AEA">
              <w:rPr>
                <w:rFonts w:ascii="Calibri" w:hAnsi="Calibri"/>
                <w:b/>
                <w:bCs/>
                <w:sz w:val="20"/>
                <w:szCs w:val="20"/>
              </w:rPr>
              <w:t xml:space="preserve"> troškovi</w:t>
            </w:r>
          </w:p>
        </w:tc>
        <w:tc>
          <w:tcPr>
            <w:tcW w:w="1340" w:type="dxa"/>
            <w:tcBorders>
              <w:top w:val="nil"/>
              <w:left w:val="nil"/>
              <w:bottom w:val="single" w:sz="4" w:space="0" w:color="auto"/>
              <w:right w:val="single" w:sz="4" w:space="0" w:color="auto"/>
            </w:tcBorders>
            <w:shd w:val="clear" w:color="000000" w:fill="8DB4E2"/>
            <w:noWrap/>
            <w:vAlign w:val="center"/>
            <w:hideMark/>
          </w:tcPr>
          <w:p w14:paraId="71D57123"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1.956.615,33</w:t>
            </w:r>
          </w:p>
        </w:tc>
        <w:tc>
          <w:tcPr>
            <w:tcW w:w="1320" w:type="dxa"/>
            <w:tcBorders>
              <w:top w:val="nil"/>
              <w:left w:val="nil"/>
              <w:bottom w:val="single" w:sz="4" w:space="0" w:color="auto"/>
              <w:right w:val="single" w:sz="4" w:space="0" w:color="auto"/>
            </w:tcBorders>
            <w:shd w:val="clear" w:color="000000" w:fill="8DB4E2"/>
            <w:noWrap/>
            <w:vAlign w:val="center"/>
            <w:hideMark/>
          </w:tcPr>
          <w:p w14:paraId="24624F71"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1.965.356,65</w:t>
            </w:r>
          </w:p>
        </w:tc>
        <w:tc>
          <w:tcPr>
            <w:tcW w:w="1080" w:type="dxa"/>
            <w:tcBorders>
              <w:top w:val="nil"/>
              <w:left w:val="nil"/>
              <w:bottom w:val="single" w:sz="4" w:space="0" w:color="auto"/>
              <w:right w:val="single" w:sz="4" w:space="0" w:color="auto"/>
            </w:tcBorders>
            <w:shd w:val="clear" w:color="000000" w:fill="8DB4E2"/>
            <w:noWrap/>
            <w:vAlign w:val="center"/>
            <w:hideMark/>
          </w:tcPr>
          <w:p w14:paraId="6A8E621D"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100,45</w:t>
            </w:r>
          </w:p>
        </w:tc>
      </w:tr>
      <w:tr w:rsidR="00A6503C" w:rsidRPr="00553AEA" w14:paraId="05447C96" w14:textId="77777777" w:rsidTr="001A4ADE">
        <w:trPr>
          <w:trHeight w:val="414"/>
        </w:trPr>
        <w:tc>
          <w:tcPr>
            <w:tcW w:w="5200"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65A8DC80"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UKUPNO RASHODI</w:t>
            </w:r>
          </w:p>
        </w:tc>
        <w:tc>
          <w:tcPr>
            <w:tcW w:w="1340" w:type="dxa"/>
            <w:tcBorders>
              <w:top w:val="nil"/>
              <w:left w:val="nil"/>
              <w:bottom w:val="single" w:sz="4" w:space="0" w:color="auto"/>
              <w:right w:val="single" w:sz="4" w:space="0" w:color="auto"/>
            </w:tcBorders>
            <w:shd w:val="clear" w:color="000000" w:fill="8DB4E2"/>
            <w:noWrap/>
            <w:vAlign w:val="center"/>
            <w:hideMark/>
          </w:tcPr>
          <w:p w14:paraId="1A200161" w14:textId="77777777" w:rsidR="00A6503C" w:rsidRPr="00553AEA" w:rsidRDefault="00A6503C" w:rsidP="00553AEA">
            <w:pPr>
              <w:jc w:val="right"/>
              <w:rPr>
                <w:rFonts w:ascii="Calibri" w:hAnsi="Calibri"/>
                <w:b/>
                <w:bCs/>
                <w:sz w:val="20"/>
                <w:szCs w:val="20"/>
              </w:rPr>
            </w:pPr>
            <w:r w:rsidRPr="00553AEA">
              <w:rPr>
                <w:rFonts w:ascii="Calibri" w:hAnsi="Calibri"/>
                <w:b/>
                <w:bCs/>
                <w:sz w:val="20"/>
                <w:szCs w:val="20"/>
              </w:rPr>
              <w:t>2.176.615,33</w:t>
            </w:r>
          </w:p>
        </w:tc>
        <w:tc>
          <w:tcPr>
            <w:tcW w:w="1320" w:type="dxa"/>
            <w:tcBorders>
              <w:top w:val="nil"/>
              <w:left w:val="nil"/>
              <w:bottom w:val="single" w:sz="4" w:space="0" w:color="auto"/>
              <w:right w:val="single" w:sz="4" w:space="0" w:color="auto"/>
            </w:tcBorders>
            <w:shd w:val="clear" w:color="000000" w:fill="8DB4E2"/>
            <w:noWrap/>
            <w:vAlign w:val="center"/>
            <w:hideMark/>
          </w:tcPr>
          <w:p w14:paraId="58E1A8C6" w14:textId="77777777" w:rsidR="00A6503C" w:rsidRPr="00553AEA" w:rsidRDefault="00A6503C" w:rsidP="00553AEA">
            <w:pPr>
              <w:jc w:val="right"/>
              <w:rPr>
                <w:rFonts w:ascii="Calibri" w:hAnsi="Calibri"/>
                <w:b/>
                <w:bCs/>
                <w:color w:val="auto"/>
                <w:sz w:val="20"/>
                <w:szCs w:val="20"/>
              </w:rPr>
            </w:pPr>
            <w:r w:rsidRPr="00553AEA">
              <w:rPr>
                <w:rFonts w:ascii="Calibri" w:hAnsi="Calibri"/>
                <w:b/>
                <w:bCs/>
                <w:color w:val="auto"/>
                <w:sz w:val="20"/>
                <w:szCs w:val="20"/>
              </w:rPr>
              <w:t>3.062.064,17</w:t>
            </w:r>
          </w:p>
        </w:tc>
        <w:tc>
          <w:tcPr>
            <w:tcW w:w="1080" w:type="dxa"/>
            <w:tcBorders>
              <w:top w:val="nil"/>
              <w:left w:val="nil"/>
              <w:bottom w:val="single" w:sz="4" w:space="0" w:color="auto"/>
              <w:right w:val="single" w:sz="4" w:space="0" w:color="auto"/>
            </w:tcBorders>
            <w:shd w:val="clear" w:color="000000" w:fill="8DB4E2"/>
            <w:noWrap/>
            <w:vAlign w:val="center"/>
            <w:hideMark/>
          </w:tcPr>
          <w:p w14:paraId="64149928" w14:textId="77777777" w:rsidR="00A6503C" w:rsidRPr="00553AEA" w:rsidRDefault="00A6503C" w:rsidP="00553AEA">
            <w:pPr>
              <w:jc w:val="center"/>
              <w:rPr>
                <w:rFonts w:ascii="Calibri" w:hAnsi="Calibri"/>
                <w:b/>
                <w:bCs/>
                <w:sz w:val="20"/>
                <w:szCs w:val="20"/>
              </w:rPr>
            </w:pPr>
            <w:r w:rsidRPr="00553AEA">
              <w:rPr>
                <w:rFonts w:ascii="Calibri" w:hAnsi="Calibri"/>
                <w:b/>
                <w:bCs/>
                <w:sz w:val="20"/>
                <w:szCs w:val="20"/>
              </w:rPr>
              <w:t>140,68</w:t>
            </w:r>
          </w:p>
        </w:tc>
      </w:tr>
    </w:tbl>
    <w:p w14:paraId="438BB001" w14:textId="77777777" w:rsidR="00FC6CCA" w:rsidRDefault="00FC6CCA" w:rsidP="00713AF5">
      <w:pPr>
        <w:rPr>
          <w:rFonts w:asciiTheme="minorHAnsi" w:hAnsiTheme="minorHAnsi"/>
          <w:sz w:val="20"/>
          <w:szCs w:val="20"/>
          <w:lang w:val="sr-Latn-BA" w:eastAsia="sr-Cyrl-CS"/>
        </w:rPr>
      </w:pPr>
    </w:p>
    <w:p w14:paraId="64048744" w14:textId="60EC01CF" w:rsidR="00713AF5" w:rsidRPr="00687171" w:rsidRDefault="001538EF" w:rsidP="00713AF5">
      <w:pPr>
        <w:rPr>
          <w:rFonts w:asciiTheme="minorHAnsi" w:hAnsiTheme="minorHAnsi"/>
          <w:color w:val="000000" w:themeColor="text1"/>
          <w:sz w:val="20"/>
          <w:szCs w:val="20"/>
          <w:lang w:val="sr-Cyrl-CS" w:eastAsia="sr-Cyrl-CS"/>
        </w:rPr>
      </w:pPr>
      <w:r w:rsidRPr="00713AF5">
        <w:rPr>
          <w:rFonts w:asciiTheme="minorHAnsi" w:hAnsiTheme="minorHAnsi"/>
          <w:color w:val="auto"/>
          <w:sz w:val="20"/>
          <w:szCs w:val="20"/>
          <w:lang w:eastAsia="sr-Cyrl-CS"/>
        </w:rPr>
        <w:t xml:space="preserve">U 2023. godini Fond je ostvario troškove poslovanja u iznosu od 1.965.356,65 KM, dok su ukupni rashodi iznosili 3.062.064,17 KM. Razliku u iznosu od 1.096.707,62 KM između ostvarenih troškova i ukupnih rashoda čine rezervisanja po vanbilansnoj aktivi u iznosu od 752.467,91 KM, rashodi  </w:t>
      </w:r>
      <w:r w:rsidR="00713AF5" w:rsidRPr="00B84B91">
        <w:rPr>
          <w:rFonts w:asciiTheme="minorHAnsi" w:hAnsiTheme="minorHAnsi"/>
          <w:color w:val="000000" w:themeColor="text1"/>
          <w:sz w:val="20"/>
          <w:szCs w:val="20"/>
          <w:lang w:eastAsia="sr-Latn-RS"/>
        </w:rPr>
        <w:t xml:space="preserve"> kamata i naknada u iznosu od 281.097,38 KM i rashodi po osnovu prestanka priznavanja finansijskih sredstava u iznosu od 63.142,23,  a koji najvećim dijelom obuhvataju gubitke po osnovu usklađivanja hartija koje su kupljene po većoj vrijednosti od nominalne. </w:t>
      </w:r>
    </w:p>
    <w:p w14:paraId="1CC62F9F" w14:textId="77777777" w:rsidR="00836EF2" w:rsidRPr="00B84B91" w:rsidRDefault="00836EF2" w:rsidP="00713AF5">
      <w:pPr>
        <w:rPr>
          <w:rFonts w:asciiTheme="minorHAnsi" w:hAnsiTheme="minorHAnsi"/>
          <w:color w:val="000000" w:themeColor="text1"/>
          <w:sz w:val="20"/>
          <w:szCs w:val="20"/>
          <w:lang w:val="sr-Cyrl-CS" w:eastAsia="sr-Cyrl-CS"/>
        </w:rPr>
      </w:pPr>
    </w:p>
    <w:p w14:paraId="7A1D9A29" w14:textId="14D9BE03" w:rsidR="00D16291" w:rsidRDefault="00713AF5" w:rsidP="001538EF">
      <w:pPr>
        <w:rPr>
          <w:rFonts w:asciiTheme="minorHAnsi" w:hAnsiTheme="minorHAnsi"/>
          <w:color w:val="000000" w:themeColor="text1"/>
          <w:sz w:val="20"/>
          <w:szCs w:val="20"/>
          <w:lang w:val="sr-Cyrl-CS" w:eastAsia="sr-Cyrl-CS"/>
        </w:rPr>
      </w:pPr>
      <w:r w:rsidRPr="00B84B91">
        <w:rPr>
          <w:rFonts w:asciiTheme="minorHAnsi" w:hAnsiTheme="minorHAnsi"/>
          <w:color w:val="000000" w:themeColor="text1"/>
          <w:sz w:val="20"/>
          <w:szCs w:val="20"/>
          <w:lang w:eastAsia="sr-Cyrl-CS"/>
        </w:rPr>
        <w:t xml:space="preserve">Posmatrano u odnosu na plan za 2023. godinu, došlo je do višestrukog povećanja rashoda. Uzrok tome je pogoršanje finansijske pozicije i neuredno izmirenje obaveza određenog broja klijenata u toku godine, zbog čega su izvršena rezervisanja za pokriće gubitaka po izdanim garancijama u četverostruko većem iznosu u odnosu na planirani, a sve u skladu sa MSFI 9. </w:t>
      </w:r>
      <w:r w:rsidR="002A1C02" w:rsidRPr="002A1C02">
        <w:rPr>
          <w:rFonts w:asciiTheme="minorHAnsi" w:hAnsiTheme="minorHAnsi"/>
          <w:b/>
          <w:color w:val="000000" w:themeColor="text1"/>
          <w:sz w:val="20"/>
          <w:szCs w:val="20"/>
          <w:lang w:eastAsia="sr-Cyrl-CS"/>
        </w:rPr>
        <w:t xml:space="preserve"> Rashodi rezervisanja po vanbilansnoj aktivi  </w:t>
      </w:r>
      <w:r w:rsidR="00D16291">
        <w:rPr>
          <w:rFonts w:asciiTheme="minorHAnsi" w:hAnsiTheme="minorHAnsi"/>
          <w:color w:val="000000" w:themeColor="text1"/>
          <w:sz w:val="20"/>
          <w:szCs w:val="20"/>
          <w:lang w:eastAsia="sr-Cyrl-CS"/>
        </w:rPr>
        <w:t xml:space="preserve">u 2023. godini su iznosili 752.467,91 KM. Pored navedenog, tokom 2023. godine završen je sudski postupak u vezi sa protestovanom garancijom za klijenta Mane komerc d.o.o. Srbac. Sudskom presudom je ustanovljena obaveza plaćanja protestovane garancije i pratećih troškova, između ostalog i troška kamate. S obzirom na nepredvidivost ishoda sudskog postupka, ovaj rashod nije uvršten u plan za 2023. godinu. </w:t>
      </w:r>
      <w:r w:rsidR="00D16291" w:rsidRPr="00D16291">
        <w:rPr>
          <w:rFonts w:asciiTheme="minorHAnsi" w:hAnsiTheme="minorHAnsi"/>
          <w:b/>
          <w:color w:val="000000" w:themeColor="text1"/>
          <w:sz w:val="20"/>
          <w:szCs w:val="20"/>
          <w:lang w:eastAsia="sr-Cyrl-CS"/>
        </w:rPr>
        <w:t xml:space="preserve"> Rashod kamata  </w:t>
      </w:r>
      <w:r w:rsidR="00D16291">
        <w:rPr>
          <w:rFonts w:asciiTheme="minorHAnsi" w:hAnsiTheme="minorHAnsi"/>
          <w:color w:val="000000" w:themeColor="text1"/>
          <w:sz w:val="20"/>
          <w:szCs w:val="20"/>
          <w:lang w:eastAsia="sr-Cyrl-CS"/>
        </w:rPr>
        <w:t xml:space="preserve"> po ovom osnovu u 2023. godini je iznosio 273.319,78 KM. </w:t>
      </w:r>
    </w:p>
    <w:p w14:paraId="5CB007F6" w14:textId="77777777" w:rsidR="001538EF" w:rsidRPr="00D16291" w:rsidRDefault="007C3977" w:rsidP="001538EF">
      <w:pPr>
        <w:rPr>
          <w:rFonts w:asciiTheme="minorHAnsi" w:hAnsiTheme="minorHAnsi"/>
          <w:color w:val="000000" w:themeColor="text1"/>
          <w:sz w:val="20"/>
          <w:szCs w:val="20"/>
          <w:lang w:val="sr-Cyrl-CS" w:eastAsia="sr-Cyrl-CS"/>
        </w:rPr>
      </w:pPr>
      <w:r w:rsidRPr="00B84B91">
        <w:rPr>
          <w:rFonts w:asciiTheme="minorHAnsi" w:hAnsiTheme="minorHAnsi"/>
          <w:color w:val="000000" w:themeColor="text1"/>
          <w:sz w:val="20"/>
          <w:szCs w:val="20"/>
          <w:lang w:eastAsia="sr-Cyrl-CS"/>
        </w:rPr>
        <w:t xml:space="preserve"> Najveći dio troškova Garantnog fonda se odnosi na  </w:t>
      </w:r>
      <w:r w:rsidRPr="003C48BF">
        <w:rPr>
          <w:rFonts w:asciiTheme="minorHAnsi" w:hAnsiTheme="minorHAnsi"/>
          <w:b/>
          <w:color w:val="000000" w:themeColor="text1"/>
          <w:sz w:val="20"/>
          <w:szCs w:val="20"/>
          <w:lang w:eastAsia="sr-Cyrl-CS"/>
        </w:rPr>
        <w:t xml:space="preserve"> troškove zarada, naknada zarada i ostala lična primanja  </w:t>
      </w:r>
      <w:r w:rsidR="00BD6347" w:rsidRPr="00B84B91">
        <w:rPr>
          <w:rFonts w:asciiTheme="minorHAnsi" w:hAnsiTheme="minorHAnsi"/>
          <w:color w:val="000000" w:themeColor="text1"/>
          <w:sz w:val="20"/>
          <w:szCs w:val="20"/>
          <w:lang w:eastAsia="sr-Cyrl-CS"/>
        </w:rPr>
        <w:t xml:space="preserve">. Ova grupa troškova je u 2023. godini ostvarena u iznosu od 1.509.781,83 KM i čini 76,8% troškova poslovanja, odnosno 49,31% ukupnih rashoda u 2023. godini. Ovi troškovi obuhvataju troškove zarada, naknada zarada, troškove poreza i doprinosa, naknada za privremene i povremene poslove (procjena potraživanja Fonda u bankama u stečaju i analiza primjene MFSI 9,   te održavanje čistoće u Fondu), te ostale lične rashode (isplate radnicima po osnovu Opšteg kolektivnog ugovora i člana 74 Pravilnika o radu, i to isplate </w:t>
      </w:r>
      <w:r w:rsidR="00BD6347" w:rsidRPr="00B84B91">
        <w:rPr>
          <w:rFonts w:asciiTheme="minorHAnsi" w:hAnsiTheme="minorHAnsi"/>
          <w:color w:val="000000" w:themeColor="text1"/>
          <w:sz w:val="20"/>
          <w:szCs w:val="20"/>
          <w:lang w:eastAsia="sr-Cyrl-CS"/>
        </w:rPr>
        <w:lastRenderedPageBreak/>
        <w:t xml:space="preserve">po osnovu smrti užeg člana porodice, rođenja djeteta i dugotrajnog liječenja radnika). Posmatrano u odnosu na plan, ovi troškovi su ostvareni u iznosu koji je za 3% manji od planiranog. </w:t>
      </w:r>
    </w:p>
    <w:p w14:paraId="682E45F3" w14:textId="005B2C45" w:rsidR="00D15B00" w:rsidRDefault="00836EF2" w:rsidP="00836EF2">
      <w:pPr>
        <w:rPr>
          <w:rFonts w:asciiTheme="minorHAnsi" w:hAnsiTheme="minorHAnsi"/>
          <w:sz w:val="20"/>
          <w:szCs w:val="20"/>
          <w:lang w:val="sr-Cyrl-BA" w:eastAsia="sr-Cyrl-CS"/>
        </w:rPr>
      </w:pPr>
      <w:r w:rsidRPr="003C48BF">
        <w:rPr>
          <w:rFonts w:asciiTheme="minorHAnsi" w:hAnsiTheme="minorHAnsi"/>
          <w:b/>
          <w:sz w:val="20"/>
          <w:szCs w:val="20"/>
          <w:lang w:eastAsia="sr-Cyrl-CS"/>
        </w:rPr>
        <w:t xml:space="preserve">Nematerijalni troškovi  </w:t>
      </w:r>
      <w:r w:rsidR="007851DE">
        <w:rPr>
          <w:rFonts w:asciiTheme="minorHAnsi" w:hAnsiTheme="minorHAnsi"/>
          <w:sz w:val="20"/>
          <w:szCs w:val="20"/>
          <w:lang w:eastAsia="sr-Cyrl-CS"/>
        </w:rPr>
        <w:t xml:space="preserve"> su ostvareni u iznosu od 182.942,28 KM, a najznačajnije stavke u okviru ove grupe su: troškovi advokatskih usluga, trošak članarine u Zelenom navigatoru, troškovi reprezentacije, trošak članarine u Evropskoj asocijaciji garantnih institucija (AECM) i troškovi PTT usluga u zemlji. Navedene stavke zajedno čine više od 80% ostvarenih troškova u ovoj kategoriji. </w:t>
      </w:r>
    </w:p>
    <w:p w14:paraId="523E7675" w14:textId="44BE08DD" w:rsidR="00836EF2" w:rsidRDefault="00D15B00" w:rsidP="00836EF2">
      <w:pPr>
        <w:rPr>
          <w:rFonts w:asciiTheme="minorHAnsi" w:hAnsiTheme="minorHAnsi"/>
          <w:color w:val="000000" w:themeColor="text1"/>
          <w:sz w:val="20"/>
          <w:szCs w:val="20"/>
          <w:lang w:val="sr-Cyrl-BA" w:eastAsia="sr-Cyrl-CS"/>
        </w:rPr>
      </w:pPr>
      <w:r w:rsidRPr="003C48BF">
        <w:rPr>
          <w:rFonts w:asciiTheme="minorHAnsi" w:hAnsiTheme="minorHAnsi"/>
          <w:b/>
          <w:sz w:val="20"/>
          <w:szCs w:val="20"/>
          <w:lang w:eastAsia="sr-Cyrl-CS"/>
        </w:rPr>
        <w:t xml:space="preserve">Ostali troškovi  </w:t>
      </w:r>
      <w:r>
        <w:rPr>
          <w:rFonts w:asciiTheme="minorHAnsi" w:hAnsiTheme="minorHAnsi"/>
          <w:sz w:val="20"/>
          <w:szCs w:val="20"/>
          <w:lang w:eastAsia="sr-Cyrl-CS"/>
        </w:rPr>
        <w:t xml:space="preserve"> su iznosili  </w:t>
      </w:r>
      <w:r w:rsidR="00836EF2" w:rsidRPr="00584620">
        <w:rPr>
          <w:rFonts w:asciiTheme="minorHAnsi" w:hAnsiTheme="minorHAnsi"/>
          <w:color w:val="000000" w:themeColor="text1"/>
          <w:sz w:val="20"/>
          <w:szCs w:val="20"/>
          <w:lang w:eastAsia="sr-Cyrl-CS"/>
        </w:rPr>
        <w:t xml:space="preserve"> 132.121,82 KM. Najveći dio grupe ostalih troškova (56.409,44 KM) se odnosi na trošak zakupa poslovnih prostorija Fonda, koje su u vlasništvu Investiciono-razvojne banke a.d. Banja Luka, te trošak taksa u iznosu od 51.321,92 KM, a koji obuhvata sudske takse za sporove koji su vođeni u 2023. godini. </w:t>
      </w:r>
    </w:p>
    <w:p w14:paraId="41535805" w14:textId="4966F029" w:rsidR="001538EF" w:rsidRDefault="00836EF2" w:rsidP="001538EF">
      <w:pPr>
        <w:rPr>
          <w:rFonts w:asciiTheme="minorHAnsi" w:hAnsiTheme="minorHAnsi"/>
          <w:color w:val="000000" w:themeColor="text1"/>
          <w:sz w:val="20"/>
          <w:szCs w:val="20"/>
          <w:lang w:val="sr-Cyrl-BA" w:eastAsia="sr-Cyrl-CS"/>
        </w:rPr>
      </w:pPr>
      <w:r w:rsidRPr="003C48BF">
        <w:rPr>
          <w:rFonts w:asciiTheme="minorHAnsi" w:hAnsiTheme="minorHAnsi"/>
          <w:b/>
          <w:color w:val="000000" w:themeColor="text1"/>
          <w:sz w:val="20"/>
          <w:szCs w:val="20"/>
          <w:lang w:eastAsia="sr-Cyrl-CS"/>
        </w:rPr>
        <w:t xml:space="preserve">Troškovi proizvodnih usluga  </w:t>
      </w:r>
      <w:r w:rsidRPr="00584620">
        <w:rPr>
          <w:rFonts w:asciiTheme="minorHAnsi" w:hAnsiTheme="minorHAnsi"/>
          <w:color w:val="000000" w:themeColor="text1"/>
          <w:sz w:val="20"/>
          <w:szCs w:val="20"/>
          <w:lang w:eastAsia="sr-Cyrl-CS"/>
        </w:rPr>
        <w:t xml:space="preserve"> su ostvareni u iznosu od 57.451,93 KM i najvećim dijelom se odnose na troškove održavanja softvera redovnih garancija, troškove održavanja garancija iz kreditnog portfolija, troškove održavanja garancija iz Programa COVID 19, te troškove održavanja sistemskog softvera. </w:t>
      </w:r>
    </w:p>
    <w:p w14:paraId="356498C6" w14:textId="63CDBBA2" w:rsidR="00E84021" w:rsidRDefault="00836EF2" w:rsidP="001538EF">
      <w:pPr>
        <w:rPr>
          <w:rFonts w:asciiTheme="minorHAnsi" w:hAnsiTheme="minorHAnsi"/>
          <w:color w:val="000000" w:themeColor="text1"/>
          <w:sz w:val="20"/>
          <w:szCs w:val="20"/>
          <w:lang w:val="sr-Cyrl-BA" w:eastAsia="sr-Cyrl-CS"/>
        </w:rPr>
      </w:pPr>
      <w:r w:rsidRPr="003C48BF">
        <w:rPr>
          <w:rFonts w:asciiTheme="minorHAnsi" w:hAnsiTheme="minorHAnsi"/>
          <w:b/>
          <w:color w:val="000000" w:themeColor="text1"/>
          <w:sz w:val="20"/>
          <w:szCs w:val="20"/>
          <w:lang w:eastAsia="sr-Cyrl-CS"/>
        </w:rPr>
        <w:t>Troškovi amortizacije</w:t>
      </w:r>
      <w:r w:rsidR="00FC6CCA">
        <w:rPr>
          <w:rFonts w:asciiTheme="minorHAnsi" w:hAnsiTheme="minorHAnsi"/>
          <w:b/>
          <w:color w:val="000000" w:themeColor="text1"/>
          <w:sz w:val="20"/>
          <w:szCs w:val="20"/>
          <w:lang w:eastAsia="sr-Cyrl-CS"/>
        </w:rPr>
        <w:t xml:space="preserve"> </w:t>
      </w:r>
      <w:r>
        <w:rPr>
          <w:rFonts w:asciiTheme="minorHAnsi" w:hAnsiTheme="minorHAnsi"/>
          <w:color w:val="000000" w:themeColor="text1"/>
          <w:sz w:val="20"/>
          <w:szCs w:val="20"/>
          <w:lang w:eastAsia="sr-Cyrl-CS"/>
        </w:rPr>
        <w:t>u</w:t>
      </w:r>
      <w:r w:rsidR="00FC6CCA">
        <w:rPr>
          <w:rFonts w:asciiTheme="minorHAnsi" w:hAnsiTheme="minorHAnsi"/>
          <w:color w:val="000000" w:themeColor="text1"/>
          <w:sz w:val="20"/>
          <w:szCs w:val="20"/>
          <w:lang w:eastAsia="sr-Cyrl-CS"/>
        </w:rPr>
        <w:t xml:space="preserve"> </w:t>
      </w:r>
      <w:r>
        <w:rPr>
          <w:rFonts w:asciiTheme="minorHAnsi" w:hAnsiTheme="minorHAnsi"/>
          <w:color w:val="000000" w:themeColor="text1"/>
          <w:sz w:val="20"/>
          <w:szCs w:val="20"/>
          <w:lang w:eastAsia="sr-Cyrl-CS"/>
        </w:rPr>
        <w:t xml:space="preserve">iznosu od 47.912,67 KM se najvećim dijelom odnose na amortizaciju osnovnih sredstava, odnosno opreme koja se koristi u redovnom poslovanju Fonda. </w:t>
      </w:r>
    </w:p>
    <w:p w14:paraId="6F45BF6A" w14:textId="77777777" w:rsidR="00D16291" w:rsidRPr="00D16291" w:rsidRDefault="00D16291" w:rsidP="001538EF">
      <w:pPr>
        <w:rPr>
          <w:rFonts w:asciiTheme="minorHAnsi" w:hAnsiTheme="minorHAnsi"/>
          <w:color w:val="000000" w:themeColor="text1"/>
          <w:sz w:val="20"/>
          <w:szCs w:val="20"/>
          <w:lang w:val="sr-Cyrl-BA" w:eastAsia="sr-Cyrl-CS"/>
        </w:rPr>
      </w:pPr>
    </w:p>
    <w:p w14:paraId="61CD3D64" w14:textId="77777777" w:rsidR="00914272" w:rsidRPr="00914272" w:rsidRDefault="00914272" w:rsidP="00914272">
      <w:pPr>
        <w:jc w:val="center"/>
        <w:rPr>
          <w:rFonts w:asciiTheme="minorHAnsi" w:hAnsiTheme="minorHAnsi"/>
          <w:b/>
          <w:sz w:val="20"/>
          <w:szCs w:val="20"/>
          <w:lang w:val="sr-Cyrl-CS" w:eastAsia="sr-Cyrl-CS"/>
        </w:rPr>
      </w:pPr>
      <w:r w:rsidRPr="00914272">
        <w:rPr>
          <w:rFonts w:asciiTheme="minorHAnsi" w:hAnsiTheme="minorHAnsi"/>
          <w:b/>
          <w:sz w:val="20"/>
          <w:szCs w:val="20"/>
          <w:lang w:eastAsia="sr-Cyrl-CS"/>
        </w:rPr>
        <w:t>Pregled strukture ostvarenih rashoda poslovanja u 2023. godini</w:t>
      </w:r>
    </w:p>
    <w:p w14:paraId="19B91726" w14:textId="77777777" w:rsidR="00914272" w:rsidRPr="00914272" w:rsidRDefault="00914272" w:rsidP="00914272">
      <w:pPr>
        <w:rPr>
          <w:rFonts w:asciiTheme="minorHAnsi" w:hAnsiTheme="minorHAnsi"/>
          <w:b/>
          <w:sz w:val="20"/>
          <w:szCs w:val="20"/>
          <w:lang w:val="sr-Cyrl-CS" w:eastAsia="sr-Cyrl-CS"/>
        </w:rPr>
      </w:pPr>
    </w:p>
    <w:p w14:paraId="6CB9BCE8" w14:textId="77777777" w:rsidR="00E84021" w:rsidRDefault="00914272" w:rsidP="00914272">
      <w:pPr>
        <w:jc w:val="right"/>
        <w:rPr>
          <w:rFonts w:asciiTheme="minorHAnsi" w:hAnsiTheme="minorHAnsi"/>
          <w:b/>
          <w:sz w:val="20"/>
          <w:szCs w:val="20"/>
          <w:lang w:val="sr-Cyrl-CS" w:eastAsia="sr-Cyrl-CS"/>
        </w:rPr>
      </w:pPr>
      <w:r>
        <w:rPr>
          <w:rFonts w:asciiTheme="minorHAnsi" w:hAnsiTheme="minorHAnsi"/>
          <w:b/>
          <w:sz w:val="20"/>
          <w:szCs w:val="20"/>
          <w:lang w:eastAsia="sr-Cyrl-CS"/>
        </w:rPr>
        <w:t xml:space="preserve">                       Tabela 24</w:t>
      </w:r>
    </w:p>
    <w:tbl>
      <w:tblPr>
        <w:tblW w:w="8804" w:type="dxa"/>
        <w:tblInd w:w="93" w:type="dxa"/>
        <w:tblLook w:val="04A0" w:firstRow="1" w:lastRow="0" w:firstColumn="1" w:lastColumn="0" w:noHBand="0" w:noVBand="1"/>
      </w:tblPr>
      <w:tblGrid>
        <w:gridCol w:w="880"/>
        <w:gridCol w:w="4805"/>
        <w:gridCol w:w="1560"/>
        <w:gridCol w:w="1559"/>
      </w:tblGrid>
      <w:tr w:rsidR="00914272" w:rsidRPr="00914272" w14:paraId="30CA6513" w14:textId="77777777" w:rsidTr="00914272">
        <w:trPr>
          <w:trHeight w:val="510"/>
        </w:trPr>
        <w:tc>
          <w:tcPr>
            <w:tcW w:w="880" w:type="dxa"/>
            <w:tcBorders>
              <w:top w:val="single" w:sz="8" w:space="0" w:color="auto"/>
              <w:left w:val="single" w:sz="8" w:space="0" w:color="auto"/>
              <w:bottom w:val="nil"/>
              <w:right w:val="single" w:sz="8" w:space="0" w:color="auto"/>
            </w:tcBorders>
            <w:shd w:val="clear" w:color="000000" w:fill="8DB4E2"/>
            <w:noWrap/>
            <w:vAlign w:val="center"/>
            <w:hideMark/>
          </w:tcPr>
          <w:p w14:paraId="2C9101A6"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Konto</w:t>
            </w:r>
          </w:p>
        </w:tc>
        <w:tc>
          <w:tcPr>
            <w:tcW w:w="4805" w:type="dxa"/>
            <w:tcBorders>
              <w:top w:val="single" w:sz="8" w:space="0" w:color="auto"/>
              <w:left w:val="nil"/>
              <w:bottom w:val="nil"/>
              <w:right w:val="single" w:sz="8" w:space="0" w:color="auto"/>
            </w:tcBorders>
            <w:shd w:val="clear" w:color="000000" w:fill="8DB4E2"/>
            <w:vAlign w:val="center"/>
            <w:hideMark/>
          </w:tcPr>
          <w:p w14:paraId="51F91066" w14:textId="680A50FE" w:rsidR="00914272" w:rsidRPr="00914272" w:rsidRDefault="00136EAD" w:rsidP="00914272">
            <w:pPr>
              <w:jc w:val="center"/>
              <w:rPr>
                <w:rFonts w:ascii="Calibri" w:hAnsi="Calibri"/>
                <w:b/>
                <w:bCs/>
                <w:sz w:val="20"/>
                <w:szCs w:val="20"/>
              </w:rPr>
            </w:pPr>
            <w:r>
              <w:rPr>
                <w:rFonts w:ascii="Calibri" w:hAnsi="Calibri"/>
                <w:b/>
                <w:bCs/>
                <w:sz w:val="20"/>
                <w:szCs w:val="20"/>
              </w:rPr>
              <w:t>Naziv</w:t>
            </w:r>
          </w:p>
        </w:tc>
        <w:tc>
          <w:tcPr>
            <w:tcW w:w="1560" w:type="dxa"/>
            <w:tcBorders>
              <w:top w:val="single" w:sz="8" w:space="0" w:color="auto"/>
              <w:left w:val="nil"/>
              <w:bottom w:val="nil"/>
              <w:right w:val="single" w:sz="8" w:space="0" w:color="auto"/>
            </w:tcBorders>
            <w:shd w:val="clear" w:color="000000" w:fill="8DB4E2"/>
            <w:vAlign w:val="center"/>
            <w:hideMark/>
          </w:tcPr>
          <w:p w14:paraId="5AF703C0"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Ostvareno u 2023. godini</w:t>
            </w:r>
          </w:p>
        </w:tc>
        <w:tc>
          <w:tcPr>
            <w:tcW w:w="1559"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14:paraId="5157CFC4"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Struktura</w:t>
            </w:r>
          </w:p>
        </w:tc>
      </w:tr>
      <w:tr w:rsidR="00914272" w:rsidRPr="00914272" w14:paraId="1D6DC0E4" w14:textId="77777777" w:rsidTr="00914272">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45FB2" w14:textId="77777777" w:rsidR="00914272" w:rsidRPr="00914272" w:rsidRDefault="00914272" w:rsidP="00914272">
            <w:pPr>
              <w:jc w:val="center"/>
              <w:rPr>
                <w:rFonts w:ascii="Calibri" w:hAnsi="Calibri"/>
                <w:sz w:val="20"/>
                <w:szCs w:val="20"/>
              </w:rPr>
            </w:pPr>
            <w:r w:rsidRPr="00914272">
              <w:rPr>
                <w:rFonts w:ascii="Calibri" w:hAnsi="Calibri"/>
                <w:sz w:val="20"/>
                <w:szCs w:val="20"/>
              </w:rPr>
              <w:t>60</w:t>
            </w:r>
          </w:p>
        </w:tc>
        <w:tc>
          <w:tcPr>
            <w:tcW w:w="4805" w:type="dxa"/>
            <w:tcBorders>
              <w:top w:val="single" w:sz="4" w:space="0" w:color="auto"/>
              <w:left w:val="nil"/>
              <w:bottom w:val="single" w:sz="4" w:space="0" w:color="auto"/>
              <w:right w:val="single" w:sz="4" w:space="0" w:color="auto"/>
            </w:tcBorders>
            <w:shd w:val="clear" w:color="auto" w:fill="auto"/>
            <w:vAlign w:val="center"/>
            <w:hideMark/>
          </w:tcPr>
          <w:p w14:paraId="5A2808AD" w14:textId="1CE86BE1" w:rsidR="00914272" w:rsidRPr="00914272" w:rsidRDefault="00136EAD" w:rsidP="00914272">
            <w:pPr>
              <w:jc w:val="left"/>
              <w:rPr>
                <w:rFonts w:ascii="Calibri" w:hAnsi="Calibri"/>
                <w:sz w:val="20"/>
                <w:szCs w:val="20"/>
              </w:rPr>
            </w:pPr>
            <w:r>
              <w:rPr>
                <w:rFonts w:ascii="Calibri" w:hAnsi="Calibri"/>
                <w:sz w:val="20"/>
                <w:szCs w:val="20"/>
              </w:rPr>
              <w:t>Rashodi</w:t>
            </w:r>
            <w:r w:rsidR="00914272" w:rsidRPr="00914272">
              <w:rPr>
                <w:rFonts w:ascii="Calibri" w:hAnsi="Calibri"/>
                <w:sz w:val="20"/>
                <w:szCs w:val="20"/>
              </w:rPr>
              <w:t xml:space="preserve"> kamat</w:t>
            </w:r>
            <w:r>
              <w:rPr>
                <w:rFonts w:ascii="Calibri" w:hAnsi="Calibri"/>
                <w:sz w:val="20"/>
                <w:szCs w:val="20"/>
              </w:rPr>
              <w:t>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CE1CCF5"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273.319,78</w:t>
            </w:r>
          </w:p>
        </w:tc>
        <w:tc>
          <w:tcPr>
            <w:tcW w:w="1559" w:type="dxa"/>
            <w:tcBorders>
              <w:top w:val="nil"/>
              <w:left w:val="nil"/>
              <w:bottom w:val="single" w:sz="4" w:space="0" w:color="auto"/>
              <w:right w:val="single" w:sz="4" w:space="0" w:color="auto"/>
            </w:tcBorders>
            <w:shd w:val="clear" w:color="auto" w:fill="auto"/>
            <w:noWrap/>
            <w:vAlign w:val="bottom"/>
            <w:hideMark/>
          </w:tcPr>
          <w:p w14:paraId="0D80B35D" w14:textId="77777777" w:rsidR="00914272" w:rsidRPr="00914272" w:rsidRDefault="00914272" w:rsidP="00914272">
            <w:pPr>
              <w:jc w:val="center"/>
              <w:rPr>
                <w:rFonts w:ascii="Calibri" w:hAnsi="Calibri"/>
                <w:sz w:val="20"/>
                <w:szCs w:val="20"/>
              </w:rPr>
            </w:pPr>
            <w:r w:rsidRPr="00914272">
              <w:rPr>
                <w:rFonts w:ascii="Calibri" w:hAnsi="Calibri"/>
                <w:sz w:val="20"/>
                <w:szCs w:val="20"/>
              </w:rPr>
              <w:t>8,93%</w:t>
            </w:r>
          </w:p>
        </w:tc>
      </w:tr>
      <w:tr w:rsidR="00914272" w:rsidRPr="00914272" w14:paraId="4A18B6DA"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68DB6F5" w14:textId="77777777" w:rsidR="00914272" w:rsidRPr="00914272" w:rsidRDefault="00914272" w:rsidP="00914272">
            <w:pPr>
              <w:jc w:val="center"/>
              <w:rPr>
                <w:rFonts w:ascii="Calibri" w:hAnsi="Calibri"/>
                <w:sz w:val="20"/>
                <w:szCs w:val="20"/>
              </w:rPr>
            </w:pPr>
            <w:r w:rsidRPr="00914272">
              <w:rPr>
                <w:rFonts w:ascii="Calibri" w:hAnsi="Calibri"/>
                <w:sz w:val="20"/>
                <w:szCs w:val="20"/>
              </w:rPr>
              <w:t>610</w:t>
            </w:r>
          </w:p>
        </w:tc>
        <w:tc>
          <w:tcPr>
            <w:tcW w:w="4805" w:type="dxa"/>
            <w:tcBorders>
              <w:top w:val="nil"/>
              <w:left w:val="nil"/>
              <w:bottom w:val="single" w:sz="4" w:space="0" w:color="auto"/>
              <w:right w:val="single" w:sz="4" w:space="0" w:color="auto"/>
            </w:tcBorders>
            <w:shd w:val="clear" w:color="auto" w:fill="auto"/>
            <w:vAlign w:val="center"/>
            <w:hideMark/>
          </w:tcPr>
          <w:p w14:paraId="55B09D75" w14:textId="77777777" w:rsidR="00914272" w:rsidRPr="00914272" w:rsidRDefault="00914272" w:rsidP="00914272">
            <w:pPr>
              <w:jc w:val="left"/>
              <w:rPr>
                <w:rFonts w:ascii="Calibri" w:hAnsi="Calibri"/>
                <w:sz w:val="20"/>
                <w:szCs w:val="20"/>
              </w:rPr>
            </w:pPr>
            <w:r w:rsidRPr="00914272">
              <w:rPr>
                <w:rFonts w:ascii="Calibri" w:hAnsi="Calibri"/>
                <w:sz w:val="20"/>
                <w:szCs w:val="20"/>
              </w:rPr>
              <w:t>Rashodi naknada u domaćoj valuti</w:t>
            </w:r>
          </w:p>
        </w:tc>
        <w:tc>
          <w:tcPr>
            <w:tcW w:w="1560" w:type="dxa"/>
            <w:tcBorders>
              <w:top w:val="nil"/>
              <w:left w:val="nil"/>
              <w:bottom w:val="single" w:sz="4" w:space="0" w:color="auto"/>
              <w:right w:val="single" w:sz="4" w:space="0" w:color="auto"/>
            </w:tcBorders>
            <w:shd w:val="clear" w:color="auto" w:fill="auto"/>
            <w:noWrap/>
            <w:vAlign w:val="center"/>
            <w:hideMark/>
          </w:tcPr>
          <w:p w14:paraId="73958424"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7.777,60</w:t>
            </w:r>
          </w:p>
        </w:tc>
        <w:tc>
          <w:tcPr>
            <w:tcW w:w="1559" w:type="dxa"/>
            <w:tcBorders>
              <w:top w:val="nil"/>
              <w:left w:val="nil"/>
              <w:bottom w:val="single" w:sz="4" w:space="0" w:color="auto"/>
              <w:right w:val="single" w:sz="4" w:space="0" w:color="auto"/>
            </w:tcBorders>
            <w:shd w:val="clear" w:color="auto" w:fill="auto"/>
            <w:noWrap/>
            <w:vAlign w:val="bottom"/>
            <w:hideMark/>
          </w:tcPr>
          <w:p w14:paraId="49FB55D5" w14:textId="77777777" w:rsidR="00914272" w:rsidRPr="00914272" w:rsidRDefault="00914272" w:rsidP="00914272">
            <w:pPr>
              <w:jc w:val="center"/>
              <w:rPr>
                <w:rFonts w:ascii="Calibri" w:hAnsi="Calibri"/>
                <w:sz w:val="20"/>
                <w:szCs w:val="20"/>
              </w:rPr>
            </w:pPr>
            <w:r w:rsidRPr="00914272">
              <w:rPr>
                <w:rFonts w:ascii="Calibri" w:hAnsi="Calibri"/>
                <w:sz w:val="20"/>
                <w:szCs w:val="20"/>
              </w:rPr>
              <w:t>0,25%</w:t>
            </w:r>
          </w:p>
        </w:tc>
      </w:tr>
      <w:tr w:rsidR="00914272" w:rsidRPr="00914272" w14:paraId="0B02BBD3"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12BA74E" w14:textId="77777777" w:rsidR="00914272" w:rsidRPr="00914272" w:rsidRDefault="00914272" w:rsidP="00914272">
            <w:pPr>
              <w:jc w:val="center"/>
              <w:rPr>
                <w:rFonts w:ascii="Calibri" w:hAnsi="Calibri"/>
                <w:sz w:val="20"/>
                <w:szCs w:val="20"/>
              </w:rPr>
            </w:pPr>
            <w:r w:rsidRPr="00914272">
              <w:rPr>
                <w:rFonts w:ascii="Calibri" w:hAnsi="Calibri"/>
                <w:sz w:val="20"/>
                <w:szCs w:val="20"/>
              </w:rPr>
              <w:t>6410</w:t>
            </w:r>
          </w:p>
        </w:tc>
        <w:tc>
          <w:tcPr>
            <w:tcW w:w="4805" w:type="dxa"/>
            <w:tcBorders>
              <w:top w:val="nil"/>
              <w:left w:val="nil"/>
              <w:bottom w:val="single" w:sz="4" w:space="0" w:color="auto"/>
              <w:right w:val="single" w:sz="4" w:space="0" w:color="auto"/>
            </w:tcBorders>
            <w:shd w:val="clear" w:color="auto" w:fill="auto"/>
            <w:vAlign w:val="center"/>
            <w:hideMark/>
          </w:tcPr>
          <w:p w14:paraId="72BE3A91" w14:textId="77777777" w:rsidR="00914272" w:rsidRPr="00914272" w:rsidRDefault="00914272" w:rsidP="00914272">
            <w:pPr>
              <w:jc w:val="left"/>
              <w:rPr>
                <w:rFonts w:ascii="Calibri" w:hAnsi="Calibri"/>
                <w:sz w:val="20"/>
                <w:szCs w:val="20"/>
              </w:rPr>
            </w:pPr>
            <w:r w:rsidRPr="00914272">
              <w:rPr>
                <w:rFonts w:ascii="Calibri" w:hAnsi="Calibri"/>
                <w:sz w:val="20"/>
                <w:szCs w:val="20"/>
              </w:rPr>
              <w:t>Rashodi rezervisanja po vanbilansnoj aktivi</w:t>
            </w:r>
          </w:p>
        </w:tc>
        <w:tc>
          <w:tcPr>
            <w:tcW w:w="1560" w:type="dxa"/>
            <w:tcBorders>
              <w:top w:val="nil"/>
              <w:left w:val="nil"/>
              <w:bottom w:val="single" w:sz="4" w:space="0" w:color="auto"/>
              <w:right w:val="single" w:sz="4" w:space="0" w:color="auto"/>
            </w:tcBorders>
            <w:shd w:val="clear" w:color="auto" w:fill="auto"/>
            <w:noWrap/>
            <w:vAlign w:val="center"/>
            <w:hideMark/>
          </w:tcPr>
          <w:p w14:paraId="06D9C7B6"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752.467,91</w:t>
            </w:r>
          </w:p>
        </w:tc>
        <w:tc>
          <w:tcPr>
            <w:tcW w:w="1559" w:type="dxa"/>
            <w:tcBorders>
              <w:top w:val="nil"/>
              <w:left w:val="nil"/>
              <w:bottom w:val="single" w:sz="4" w:space="0" w:color="auto"/>
              <w:right w:val="single" w:sz="4" w:space="0" w:color="auto"/>
            </w:tcBorders>
            <w:shd w:val="clear" w:color="auto" w:fill="auto"/>
            <w:noWrap/>
            <w:vAlign w:val="bottom"/>
            <w:hideMark/>
          </w:tcPr>
          <w:p w14:paraId="6BCF4E7B" w14:textId="77777777" w:rsidR="00914272" w:rsidRPr="00914272" w:rsidRDefault="00914272" w:rsidP="00914272">
            <w:pPr>
              <w:jc w:val="center"/>
              <w:rPr>
                <w:rFonts w:ascii="Calibri" w:hAnsi="Calibri"/>
                <w:sz w:val="20"/>
                <w:szCs w:val="20"/>
              </w:rPr>
            </w:pPr>
            <w:r w:rsidRPr="00914272">
              <w:rPr>
                <w:rFonts w:ascii="Calibri" w:hAnsi="Calibri"/>
                <w:sz w:val="20"/>
                <w:szCs w:val="20"/>
              </w:rPr>
              <w:t>24,57%</w:t>
            </w:r>
          </w:p>
        </w:tc>
      </w:tr>
      <w:tr w:rsidR="00914272" w:rsidRPr="00914272" w14:paraId="652B7696" w14:textId="77777777" w:rsidTr="00B54DD1">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2EC39F0" w14:textId="77777777" w:rsidR="00914272" w:rsidRPr="00914272" w:rsidRDefault="00914272" w:rsidP="00914272">
            <w:pPr>
              <w:jc w:val="center"/>
              <w:rPr>
                <w:rFonts w:ascii="Calibri" w:hAnsi="Calibri"/>
                <w:sz w:val="20"/>
                <w:szCs w:val="20"/>
              </w:rPr>
            </w:pPr>
            <w:r w:rsidRPr="00914272">
              <w:rPr>
                <w:rFonts w:ascii="Calibri" w:hAnsi="Calibri"/>
                <w:sz w:val="20"/>
                <w:szCs w:val="20"/>
              </w:rPr>
              <w:t>622</w:t>
            </w:r>
          </w:p>
        </w:tc>
        <w:tc>
          <w:tcPr>
            <w:tcW w:w="4805" w:type="dxa"/>
            <w:tcBorders>
              <w:top w:val="nil"/>
              <w:left w:val="nil"/>
              <w:bottom w:val="single" w:sz="4" w:space="0" w:color="auto"/>
              <w:right w:val="single" w:sz="4" w:space="0" w:color="auto"/>
            </w:tcBorders>
            <w:shd w:val="clear" w:color="auto" w:fill="auto"/>
            <w:vAlign w:val="center"/>
            <w:hideMark/>
          </w:tcPr>
          <w:p w14:paraId="3B776D13" w14:textId="77777777" w:rsidR="00914272" w:rsidRPr="00914272" w:rsidRDefault="00914272" w:rsidP="00914272">
            <w:pPr>
              <w:jc w:val="left"/>
              <w:rPr>
                <w:rFonts w:ascii="Calibri" w:hAnsi="Calibri"/>
                <w:sz w:val="20"/>
                <w:szCs w:val="20"/>
              </w:rPr>
            </w:pPr>
            <w:r w:rsidRPr="00914272">
              <w:rPr>
                <w:rFonts w:ascii="Calibri" w:hAnsi="Calibri"/>
                <w:sz w:val="20"/>
                <w:szCs w:val="20"/>
              </w:rPr>
              <w:t>Gubici po osnovu prestanka priznavanja finansijskih sredstava</w:t>
            </w:r>
          </w:p>
        </w:tc>
        <w:tc>
          <w:tcPr>
            <w:tcW w:w="1560" w:type="dxa"/>
            <w:tcBorders>
              <w:top w:val="nil"/>
              <w:left w:val="nil"/>
              <w:bottom w:val="single" w:sz="4" w:space="0" w:color="auto"/>
              <w:right w:val="single" w:sz="4" w:space="0" w:color="auto"/>
            </w:tcBorders>
            <w:shd w:val="clear" w:color="auto" w:fill="auto"/>
            <w:noWrap/>
            <w:vAlign w:val="center"/>
            <w:hideMark/>
          </w:tcPr>
          <w:p w14:paraId="6FA05748"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63.142,23</w:t>
            </w:r>
          </w:p>
        </w:tc>
        <w:tc>
          <w:tcPr>
            <w:tcW w:w="1559" w:type="dxa"/>
            <w:tcBorders>
              <w:top w:val="nil"/>
              <w:left w:val="nil"/>
              <w:bottom w:val="single" w:sz="4" w:space="0" w:color="auto"/>
              <w:right w:val="single" w:sz="4" w:space="0" w:color="auto"/>
            </w:tcBorders>
            <w:shd w:val="clear" w:color="auto" w:fill="auto"/>
            <w:noWrap/>
            <w:vAlign w:val="center"/>
            <w:hideMark/>
          </w:tcPr>
          <w:p w14:paraId="75414CC7" w14:textId="77777777" w:rsidR="00914272" w:rsidRPr="00914272" w:rsidRDefault="00914272" w:rsidP="00B54DD1">
            <w:pPr>
              <w:jc w:val="center"/>
              <w:rPr>
                <w:rFonts w:ascii="Calibri" w:hAnsi="Calibri"/>
                <w:sz w:val="20"/>
                <w:szCs w:val="20"/>
              </w:rPr>
            </w:pPr>
            <w:r w:rsidRPr="00914272">
              <w:rPr>
                <w:rFonts w:ascii="Calibri" w:hAnsi="Calibri"/>
                <w:sz w:val="20"/>
                <w:szCs w:val="20"/>
              </w:rPr>
              <w:t>2,06%</w:t>
            </w:r>
          </w:p>
        </w:tc>
      </w:tr>
      <w:tr w:rsidR="00914272" w:rsidRPr="00914272" w14:paraId="56CD95D8"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F7141EA" w14:textId="77777777" w:rsidR="00914272" w:rsidRPr="00914272" w:rsidRDefault="00914272" w:rsidP="00914272">
            <w:pPr>
              <w:jc w:val="center"/>
              <w:rPr>
                <w:rFonts w:ascii="Calibri" w:hAnsi="Calibri"/>
                <w:sz w:val="20"/>
                <w:szCs w:val="20"/>
              </w:rPr>
            </w:pPr>
            <w:r w:rsidRPr="00914272">
              <w:rPr>
                <w:rFonts w:ascii="Calibri" w:hAnsi="Calibri"/>
                <w:sz w:val="20"/>
                <w:szCs w:val="20"/>
              </w:rPr>
              <w:t>650</w:t>
            </w:r>
          </w:p>
        </w:tc>
        <w:tc>
          <w:tcPr>
            <w:tcW w:w="4805" w:type="dxa"/>
            <w:tcBorders>
              <w:top w:val="nil"/>
              <w:left w:val="nil"/>
              <w:bottom w:val="single" w:sz="4" w:space="0" w:color="auto"/>
              <w:right w:val="single" w:sz="4" w:space="0" w:color="auto"/>
            </w:tcBorders>
            <w:shd w:val="clear" w:color="auto" w:fill="auto"/>
            <w:vAlign w:val="center"/>
            <w:hideMark/>
          </w:tcPr>
          <w:p w14:paraId="46FA9DA7" w14:textId="0DB63FB0" w:rsidR="00914272" w:rsidRPr="00914272" w:rsidRDefault="00914272" w:rsidP="00914272">
            <w:pPr>
              <w:jc w:val="left"/>
              <w:rPr>
                <w:rFonts w:ascii="Calibri" w:hAnsi="Calibri"/>
                <w:sz w:val="20"/>
                <w:szCs w:val="20"/>
              </w:rPr>
            </w:pPr>
            <w:r w:rsidRPr="00914272">
              <w:rPr>
                <w:rFonts w:ascii="Calibri" w:hAnsi="Calibri"/>
                <w:sz w:val="20"/>
                <w:szCs w:val="20"/>
              </w:rPr>
              <w:t>Troškov</w:t>
            </w:r>
            <w:r w:rsidR="00136EAD">
              <w:rPr>
                <w:rFonts w:ascii="Calibri" w:hAnsi="Calibri"/>
                <w:sz w:val="20"/>
                <w:szCs w:val="20"/>
              </w:rPr>
              <w:t>i</w:t>
            </w:r>
            <w:r w:rsidRPr="00914272">
              <w:rPr>
                <w:rFonts w:ascii="Calibri" w:hAnsi="Calibri"/>
                <w:sz w:val="20"/>
                <w:szCs w:val="20"/>
              </w:rPr>
              <w:t xml:space="preserve"> zarada </w:t>
            </w:r>
          </w:p>
        </w:tc>
        <w:tc>
          <w:tcPr>
            <w:tcW w:w="1560" w:type="dxa"/>
            <w:tcBorders>
              <w:top w:val="nil"/>
              <w:left w:val="nil"/>
              <w:bottom w:val="single" w:sz="4" w:space="0" w:color="auto"/>
              <w:right w:val="single" w:sz="4" w:space="0" w:color="auto"/>
            </w:tcBorders>
            <w:shd w:val="clear" w:color="auto" w:fill="auto"/>
            <w:noWrap/>
            <w:vAlign w:val="center"/>
            <w:hideMark/>
          </w:tcPr>
          <w:p w14:paraId="177EDBDF"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791.950,01</w:t>
            </w:r>
          </w:p>
        </w:tc>
        <w:tc>
          <w:tcPr>
            <w:tcW w:w="1559" w:type="dxa"/>
            <w:tcBorders>
              <w:top w:val="nil"/>
              <w:left w:val="nil"/>
              <w:bottom w:val="single" w:sz="4" w:space="0" w:color="auto"/>
              <w:right w:val="single" w:sz="4" w:space="0" w:color="auto"/>
            </w:tcBorders>
            <w:shd w:val="clear" w:color="auto" w:fill="auto"/>
            <w:noWrap/>
            <w:vAlign w:val="center"/>
            <w:hideMark/>
          </w:tcPr>
          <w:p w14:paraId="78C5C96F" w14:textId="77777777" w:rsidR="00914272" w:rsidRPr="00914272" w:rsidRDefault="00914272" w:rsidP="00914272">
            <w:pPr>
              <w:jc w:val="center"/>
              <w:rPr>
                <w:rFonts w:ascii="Calibri" w:hAnsi="Calibri"/>
                <w:sz w:val="20"/>
                <w:szCs w:val="20"/>
              </w:rPr>
            </w:pPr>
            <w:r w:rsidRPr="00914272">
              <w:rPr>
                <w:rFonts w:ascii="Calibri" w:hAnsi="Calibri"/>
                <w:sz w:val="20"/>
                <w:szCs w:val="20"/>
              </w:rPr>
              <w:t>25,86%</w:t>
            </w:r>
          </w:p>
        </w:tc>
      </w:tr>
      <w:tr w:rsidR="00914272" w:rsidRPr="00914272" w14:paraId="2DE45A6F"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7FA5650" w14:textId="77777777" w:rsidR="00914272" w:rsidRPr="00914272" w:rsidRDefault="00914272" w:rsidP="00914272">
            <w:pPr>
              <w:jc w:val="center"/>
              <w:rPr>
                <w:rFonts w:ascii="Calibri" w:hAnsi="Calibri"/>
                <w:sz w:val="20"/>
                <w:szCs w:val="20"/>
              </w:rPr>
            </w:pPr>
            <w:r w:rsidRPr="00914272">
              <w:rPr>
                <w:rFonts w:ascii="Calibri" w:hAnsi="Calibri"/>
                <w:sz w:val="20"/>
                <w:szCs w:val="20"/>
              </w:rPr>
              <w:t>651</w:t>
            </w:r>
          </w:p>
        </w:tc>
        <w:tc>
          <w:tcPr>
            <w:tcW w:w="4805" w:type="dxa"/>
            <w:tcBorders>
              <w:top w:val="nil"/>
              <w:left w:val="nil"/>
              <w:bottom w:val="single" w:sz="4" w:space="0" w:color="auto"/>
              <w:right w:val="single" w:sz="4" w:space="0" w:color="auto"/>
            </w:tcBorders>
            <w:shd w:val="clear" w:color="auto" w:fill="auto"/>
            <w:vAlign w:val="center"/>
            <w:hideMark/>
          </w:tcPr>
          <w:p w14:paraId="49CE028B" w14:textId="77777777" w:rsidR="00914272" w:rsidRPr="00914272" w:rsidRDefault="00914272" w:rsidP="00914272">
            <w:pPr>
              <w:jc w:val="left"/>
              <w:rPr>
                <w:rFonts w:ascii="Calibri" w:hAnsi="Calibri"/>
                <w:sz w:val="20"/>
                <w:szCs w:val="20"/>
              </w:rPr>
            </w:pPr>
            <w:r w:rsidRPr="00914272">
              <w:rPr>
                <w:rFonts w:ascii="Calibri" w:hAnsi="Calibri"/>
                <w:sz w:val="20"/>
                <w:szCs w:val="20"/>
              </w:rPr>
              <w:t>Troškovi naknada zarada</w:t>
            </w:r>
          </w:p>
        </w:tc>
        <w:tc>
          <w:tcPr>
            <w:tcW w:w="1560" w:type="dxa"/>
            <w:tcBorders>
              <w:top w:val="nil"/>
              <w:left w:val="nil"/>
              <w:bottom w:val="single" w:sz="4" w:space="0" w:color="auto"/>
              <w:right w:val="single" w:sz="4" w:space="0" w:color="auto"/>
            </w:tcBorders>
            <w:shd w:val="clear" w:color="auto" w:fill="auto"/>
            <w:noWrap/>
            <w:vAlign w:val="center"/>
            <w:hideMark/>
          </w:tcPr>
          <w:p w14:paraId="7F447345"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61.908,87</w:t>
            </w:r>
          </w:p>
        </w:tc>
        <w:tc>
          <w:tcPr>
            <w:tcW w:w="1559" w:type="dxa"/>
            <w:tcBorders>
              <w:top w:val="nil"/>
              <w:left w:val="nil"/>
              <w:bottom w:val="single" w:sz="4" w:space="0" w:color="auto"/>
              <w:right w:val="single" w:sz="4" w:space="0" w:color="auto"/>
            </w:tcBorders>
            <w:shd w:val="clear" w:color="auto" w:fill="auto"/>
            <w:noWrap/>
            <w:vAlign w:val="center"/>
            <w:hideMark/>
          </w:tcPr>
          <w:p w14:paraId="00072A09" w14:textId="77777777" w:rsidR="00914272" w:rsidRPr="00914272" w:rsidRDefault="00914272" w:rsidP="00914272">
            <w:pPr>
              <w:jc w:val="center"/>
              <w:rPr>
                <w:rFonts w:ascii="Calibri" w:hAnsi="Calibri"/>
                <w:sz w:val="20"/>
                <w:szCs w:val="20"/>
              </w:rPr>
            </w:pPr>
            <w:r w:rsidRPr="00914272">
              <w:rPr>
                <w:rFonts w:ascii="Calibri" w:hAnsi="Calibri"/>
                <w:sz w:val="20"/>
                <w:szCs w:val="20"/>
              </w:rPr>
              <w:t>2,02%</w:t>
            </w:r>
          </w:p>
        </w:tc>
      </w:tr>
      <w:tr w:rsidR="00914272" w:rsidRPr="00914272" w14:paraId="7EF0EA35"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C6E32E3" w14:textId="77777777" w:rsidR="00914272" w:rsidRPr="00914272" w:rsidRDefault="00914272" w:rsidP="00914272">
            <w:pPr>
              <w:jc w:val="center"/>
              <w:rPr>
                <w:rFonts w:ascii="Calibri" w:hAnsi="Calibri"/>
                <w:sz w:val="20"/>
                <w:szCs w:val="20"/>
              </w:rPr>
            </w:pPr>
            <w:r w:rsidRPr="00914272">
              <w:rPr>
                <w:rFonts w:ascii="Calibri" w:hAnsi="Calibri"/>
                <w:sz w:val="20"/>
                <w:szCs w:val="20"/>
              </w:rPr>
              <w:t>652</w:t>
            </w:r>
          </w:p>
        </w:tc>
        <w:tc>
          <w:tcPr>
            <w:tcW w:w="4805" w:type="dxa"/>
            <w:tcBorders>
              <w:top w:val="nil"/>
              <w:left w:val="nil"/>
              <w:bottom w:val="single" w:sz="4" w:space="0" w:color="auto"/>
              <w:right w:val="single" w:sz="4" w:space="0" w:color="auto"/>
            </w:tcBorders>
            <w:shd w:val="clear" w:color="auto" w:fill="auto"/>
            <w:vAlign w:val="center"/>
            <w:hideMark/>
          </w:tcPr>
          <w:p w14:paraId="1AA2F86C" w14:textId="77777777" w:rsidR="00914272" w:rsidRPr="00914272" w:rsidRDefault="00914272" w:rsidP="00914272">
            <w:pPr>
              <w:jc w:val="left"/>
              <w:rPr>
                <w:rFonts w:ascii="Calibri" w:hAnsi="Calibri"/>
                <w:sz w:val="20"/>
                <w:szCs w:val="20"/>
              </w:rPr>
            </w:pPr>
            <w:r w:rsidRPr="00914272">
              <w:rPr>
                <w:rFonts w:ascii="Calibri" w:hAnsi="Calibri"/>
                <w:sz w:val="20"/>
                <w:szCs w:val="20"/>
              </w:rPr>
              <w:t>Troškovi poreza na zarade i naknada zarada</w:t>
            </w:r>
          </w:p>
        </w:tc>
        <w:tc>
          <w:tcPr>
            <w:tcW w:w="1560" w:type="dxa"/>
            <w:tcBorders>
              <w:top w:val="nil"/>
              <w:left w:val="nil"/>
              <w:bottom w:val="single" w:sz="4" w:space="0" w:color="auto"/>
              <w:right w:val="single" w:sz="4" w:space="0" w:color="auto"/>
            </w:tcBorders>
            <w:shd w:val="clear" w:color="auto" w:fill="auto"/>
            <w:noWrap/>
            <w:vAlign w:val="center"/>
            <w:hideMark/>
          </w:tcPr>
          <w:p w14:paraId="7921056C"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92.702,43</w:t>
            </w:r>
          </w:p>
        </w:tc>
        <w:tc>
          <w:tcPr>
            <w:tcW w:w="1559" w:type="dxa"/>
            <w:tcBorders>
              <w:top w:val="nil"/>
              <w:left w:val="nil"/>
              <w:bottom w:val="single" w:sz="4" w:space="0" w:color="auto"/>
              <w:right w:val="single" w:sz="4" w:space="0" w:color="auto"/>
            </w:tcBorders>
            <w:shd w:val="clear" w:color="auto" w:fill="auto"/>
            <w:noWrap/>
            <w:vAlign w:val="center"/>
            <w:hideMark/>
          </w:tcPr>
          <w:p w14:paraId="02D9F74D" w14:textId="77777777" w:rsidR="00914272" w:rsidRPr="00914272" w:rsidRDefault="00914272" w:rsidP="00914272">
            <w:pPr>
              <w:jc w:val="center"/>
              <w:rPr>
                <w:rFonts w:ascii="Calibri" w:hAnsi="Calibri"/>
                <w:sz w:val="20"/>
                <w:szCs w:val="20"/>
              </w:rPr>
            </w:pPr>
            <w:r w:rsidRPr="00914272">
              <w:rPr>
                <w:rFonts w:ascii="Calibri" w:hAnsi="Calibri"/>
                <w:sz w:val="20"/>
                <w:szCs w:val="20"/>
              </w:rPr>
              <w:t>3,03%</w:t>
            </w:r>
          </w:p>
        </w:tc>
      </w:tr>
      <w:tr w:rsidR="00914272" w:rsidRPr="00914272" w14:paraId="1441AB97"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B55FE05" w14:textId="77777777" w:rsidR="00914272" w:rsidRPr="00914272" w:rsidRDefault="00914272" w:rsidP="00914272">
            <w:pPr>
              <w:jc w:val="center"/>
              <w:rPr>
                <w:rFonts w:ascii="Calibri" w:hAnsi="Calibri"/>
                <w:sz w:val="20"/>
                <w:szCs w:val="20"/>
              </w:rPr>
            </w:pPr>
            <w:r w:rsidRPr="00914272">
              <w:rPr>
                <w:rFonts w:ascii="Calibri" w:hAnsi="Calibri"/>
                <w:sz w:val="20"/>
                <w:szCs w:val="20"/>
              </w:rPr>
              <w:t>653</w:t>
            </w:r>
          </w:p>
        </w:tc>
        <w:tc>
          <w:tcPr>
            <w:tcW w:w="4805" w:type="dxa"/>
            <w:tcBorders>
              <w:top w:val="nil"/>
              <w:left w:val="nil"/>
              <w:bottom w:val="single" w:sz="4" w:space="0" w:color="auto"/>
              <w:right w:val="single" w:sz="4" w:space="0" w:color="auto"/>
            </w:tcBorders>
            <w:shd w:val="clear" w:color="auto" w:fill="auto"/>
            <w:vAlign w:val="center"/>
            <w:hideMark/>
          </w:tcPr>
          <w:p w14:paraId="2CFF0605" w14:textId="77777777" w:rsidR="00914272" w:rsidRPr="00914272" w:rsidRDefault="00914272" w:rsidP="00914272">
            <w:pPr>
              <w:jc w:val="left"/>
              <w:rPr>
                <w:rFonts w:ascii="Calibri" w:hAnsi="Calibri"/>
                <w:sz w:val="20"/>
                <w:szCs w:val="20"/>
              </w:rPr>
            </w:pPr>
            <w:r w:rsidRPr="00914272">
              <w:rPr>
                <w:rFonts w:ascii="Calibri" w:hAnsi="Calibri"/>
                <w:sz w:val="20"/>
                <w:szCs w:val="20"/>
              </w:rPr>
              <w:t>Troškovi doprinosa na zarade i naknade zarada</w:t>
            </w:r>
          </w:p>
        </w:tc>
        <w:tc>
          <w:tcPr>
            <w:tcW w:w="1560" w:type="dxa"/>
            <w:tcBorders>
              <w:top w:val="nil"/>
              <w:left w:val="nil"/>
              <w:bottom w:val="single" w:sz="4" w:space="0" w:color="auto"/>
              <w:right w:val="single" w:sz="4" w:space="0" w:color="auto"/>
            </w:tcBorders>
            <w:shd w:val="clear" w:color="auto" w:fill="auto"/>
            <w:noWrap/>
            <w:vAlign w:val="center"/>
            <w:hideMark/>
          </w:tcPr>
          <w:p w14:paraId="4E96BF90"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435.557,72</w:t>
            </w:r>
          </w:p>
        </w:tc>
        <w:tc>
          <w:tcPr>
            <w:tcW w:w="1559" w:type="dxa"/>
            <w:tcBorders>
              <w:top w:val="nil"/>
              <w:left w:val="nil"/>
              <w:bottom w:val="single" w:sz="4" w:space="0" w:color="auto"/>
              <w:right w:val="single" w:sz="4" w:space="0" w:color="auto"/>
            </w:tcBorders>
            <w:shd w:val="clear" w:color="auto" w:fill="auto"/>
            <w:noWrap/>
            <w:vAlign w:val="center"/>
            <w:hideMark/>
          </w:tcPr>
          <w:p w14:paraId="083FD7AD" w14:textId="77777777" w:rsidR="00914272" w:rsidRPr="00914272" w:rsidRDefault="00914272" w:rsidP="00914272">
            <w:pPr>
              <w:jc w:val="center"/>
              <w:rPr>
                <w:rFonts w:ascii="Calibri" w:hAnsi="Calibri"/>
                <w:sz w:val="20"/>
                <w:szCs w:val="20"/>
              </w:rPr>
            </w:pPr>
            <w:r w:rsidRPr="00914272">
              <w:rPr>
                <w:rFonts w:ascii="Calibri" w:hAnsi="Calibri"/>
                <w:sz w:val="20"/>
                <w:szCs w:val="20"/>
              </w:rPr>
              <w:t>14,22%</w:t>
            </w:r>
          </w:p>
        </w:tc>
      </w:tr>
      <w:tr w:rsidR="00914272" w:rsidRPr="00914272" w14:paraId="654E727D"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6608BFC" w14:textId="77777777" w:rsidR="00914272" w:rsidRPr="00914272" w:rsidRDefault="00914272" w:rsidP="00914272">
            <w:pPr>
              <w:jc w:val="center"/>
              <w:rPr>
                <w:rFonts w:ascii="Calibri" w:hAnsi="Calibri"/>
                <w:sz w:val="20"/>
                <w:szCs w:val="20"/>
              </w:rPr>
            </w:pPr>
            <w:r w:rsidRPr="00914272">
              <w:rPr>
                <w:rFonts w:ascii="Calibri" w:hAnsi="Calibri"/>
                <w:sz w:val="20"/>
                <w:szCs w:val="20"/>
              </w:rPr>
              <w:t>654</w:t>
            </w:r>
          </w:p>
        </w:tc>
        <w:tc>
          <w:tcPr>
            <w:tcW w:w="4805" w:type="dxa"/>
            <w:tcBorders>
              <w:top w:val="nil"/>
              <w:left w:val="nil"/>
              <w:bottom w:val="single" w:sz="4" w:space="0" w:color="auto"/>
              <w:right w:val="single" w:sz="4" w:space="0" w:color="auto"/>
            </w:tcBorders>
            <w:shd w:val="clear" w:color="auto" w:fill="auto"/>
            <w:vAlign w:val="center"/>
            <w:hideMark/>
          </w:tcPr>
          <w:p w14:paraId="30E70B01" w14:textId="77777777" w:rsidR="00914272" w:rsidRPr="00914272" w:rsidRDefault="00914272" w:rsidP="00914272">
            <w:pPr>
              <w:jc w:val="left"/>
              <w:rPr>
                <w:rFonts w:ascii="Calibri" w:hAnsi="Calibri"/>
                <w:sz w:val="20"/>
                <w:szCs w:val="20"/>
              </w:rPr>
            </w:pPr>
            <w:r w:rsidRPr="00914272">
              <w:rPr>
                <w:rFonts w:ascii="Calibri" w:hAnsi="Calibri"/>
                <w:sz w:val="20"/>
                <w:szCs w:val="20"/>
              </w:rPr>
              <w:t>Troškovi naknada za privremene i povremene poslove</w:t>
            </w:r>
          </w:p>
        </w:tc>
        <w:tc>
          <w:tcPr>
            <w:tcW w:w="1560" w:type="dxa"/>
            <w:tcBorders>
              <w:top w:val="nil"/>
              <w:left w:val="nil"/>
              <w:bottom w:val="single" w:sz="4" w:space="0" w:color="auto"/>
              <w:right w:val="single" w:sz="4" w:space="0" w:color="auto"/>
            </w:tcBorders>
            <w:shd w:val="clear" w:color="auto" w:fill="auto"/>
            <w:noWrap/>
            <w:vAlign w:val="center"/>
            <w:hideMark/>
          </w:tcPr>
          <w:p w14:paraId="2A9DF1A4"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18.780,00</w:t>
            </w:r>
          </w:p>
        </w:tc>
        <w:tc>
          <w:tcPr>
            <w:tcW w:w="1559" w:type="dxa"/>
            <w:tcBorders>
              <w:top w:val="nil"/>
              <w:left w:val="nil"/>
              <w:bottom w:val="single" w:sz="4" w:space="0" w:color="auto"/>
              <w:right w:val="single" w:sz="4" w:space="0" w:color="auto"/>
            </w:tcBorders>
            <w:shd w:val="clear" w:color="auto" w:fill="auto"/>
            <w:noWrap/>
            <w:vAlign w:val="center"/>
            <w:hideMark/>
          </w:tcPr>
          <w:p w14:paraId="084BF6F9" w14:textId="77777777" w:rsidR="00914272" w:rsidRPr="00914272" w:rsidRDefault="00914272" w:rsidP="00914272">
            <w:pPr>
              <w:jc w:val="center"/>
              <w:rPr>
                <w:rFonts w:ascii="Calibri" w:hAnsi="Calibri"/>
                <w:sz w:val="20"/>
                <w:szCs w:val="20"/>
              </w:rPr>
            </w:pPr>
            <w:r w:rsidRPr="00914272">
              <w:rPr>
                <w:rFonts w:ascii="Calibri" w:hAnsi="Calibri"/>
                <w:sz w:val="20"/>
                <w:szCs w:val="20"/>
              </w:rPr>
              <w:t>0,61%</w:t>
            </w:r>
          </w:p>
        </w:tc>
      </w:tr>
      <w:tr w:rsidR="00914272" w:rsidRPr="00914272" w14:paraId="7691E596"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D8B22EB" w14:textId="77777777" w:rsidR="00914272" w:rsidRPr="00914272" w:rsidRDefault="00914272" w:rsidP="00914272">
            <w:pPr>
              <w:jc w:val="center"/>
              <w:rPr>
                <w:rFonts w:ascii="Calibri" w:hAnsi="Calibri"/>
                <w:color w:val="auto"/>
                <w:sz w:val="20"/>
                <w:szCs w:val="20"/>
              </w:rPr>
            </w:pPr>
            <w:r w:rsidRPr="00914272">
              <w:rPr>
                <w:rFonts w:ascii="Calibri" w:hAnsi="Calibri"/>
                <w:color w:val="auto"/>
                <w:sz w:val="20"/>
                <w:szCs w:val="20"/>
              </w:rPr>
              <w:t>655</w:t>
            </w:r>
          </w:p>
        </w:tc>
        <w:tc>
          <w:tcPr>
            <w:tcW w:w="4805" w:type="dxa"/>
            <w:tcBorders>
              <w:top w:val="nil"/>
              <w:left w:val="nil"/>
              <w:bottom w:val="single" w:sz="4" w:space="0" w:color="auto"/>
              <w:right w:val="single" w:sz="4" w:space="0" w:color="auto"/>
            </w:tcBorders>
            <w:shd w:val="clear" w:color="auto" w:fill="auto"/>
            <w:vAlign w:val="center"/>
            <w:hideMark/>
          </w:tcPr>
          <w:p w14:paraId="2DC74E5D" w14:textId="77777777" w:rsidR="00914272" w:rsidRPr="00914272" w:rsidRDefault="00914272" w:rsidP="00914272">
            <w:pPr>
              <w:jc w:val="left"/>
              <w:rPr>
                <w:rFonts w:ascii="Calibri" w:hAnsi="Calibri"/>
                <w:color w:val="auto"/>
                <w:sz w:val="20"/>
                <w:szCs w:val="20"/>
              </w:rPr>
            </w:pPr>
            <w:r w:rsidRPr="00914272">
              <w:rPr>
                <w:rFonts w:ascii="Calibri" w:hAnsi="Calibri"/>
                <w:color w:val="auto"/>
                <w:sz w:val="20"/>
                <w:szCs w:val="20"/>
              </w:rPr>
              <w:t>Ostali lični rashodi</w:t>
            </w:r>
          </w:p>
        </w:tc>
        <w:tc>
          <w:tcPr>
            <w:tcW w:w="1560" w:type="dxa"/>
            <w:tcBorders>
              <w:top w:val="nil"/>
              <w:left w:val="nil"/>
              <w:bottom w:val="single" w:sz="4" w:space="0" w:color="auto"/>
              <w:right w:val="single" w:sz="4" w:space="0" w:color="auto"/>
            </w:tcBorders>
            <w:shd w:val="clear" w:color="auto" w:fill="auto"/>
            <w:noWrap/>
            <w:vAlign w:val="center"/>
            <w:hideMark/>
          </w:tcPr>
          <w:p w14:paraId="52161A14"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108.882,80</w:t>
            </w:r>
          </w:p>
        </w:tc>
        <w:tc>
          <w:tcPr>
            <w:tcW w:w="1559" w:type="dxa"/>
            <w:tcBorders>
              <w:top w:val="nil"/>
              <w:left w:val="nil"/>
              <w:bottom w:val="single" w:sz="4" w:space="0" w:color="auto"/>
              <w:right w:val="single" w:sz="4" w:space="0" w:color="auto"/>
            </w:tcBorders>
            <w:shd w:val="clear" w:color="auto" w:fill="auto"/>
            <w:noWrap/>
            <w:vAlign w:val="center"/>
            <w:hideMark/>
          </w:tcPr>
          <w:p w14:paraId="34F3585E" w14:textId="77777777" w:rsidR="00914272" w:rsidRPr="00914272" w:rsidRDefault="00914272" w:rsidP="00914272">
            <w:pPr>
              <w:jc w:val="center"/>
              <w:rPr>
                <w:rFonts w:ascii="Calibri" w:hAnsi="Calibri"/>
                <w:sz w:val="20"/>
                <w:szCs w:val="20"/>
              </w:rPr>
            </w:pPr>
            <w:r w:rsidRPr="00914272">
              <w:rPr>
                <w:rFonts w:ascii="Calibri" w:hAnsi="Calibri"/>
                <w:sz w:val="20"/>
                <w:szCs w:val="20"/>
              </w:rPr>
              <w:t>3,56%</w:t>
            </w:r>
          </w:p>
        </w:tc>
      </w:tr>
      <w:tr w:rsidR="00914272" w:rsidRPr="00914272" w14:paraId="2D93C9A1"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621AAB8" w14:textId="77777777" w:rsidR="00914272" w:rsidRPr="00914272" w:rsidRDefault="00914272" w:rsidP="00914272">
            <w:pPr>
              <w:jc w:val="center"/>
              <w:rPr>
                <w:rFonts w:ascii="Calibri" w:hAnsi="Calibri"/>
                <w:sz w:val="20"/>
                <w:szCs w:val="20"/>
              </w:rPr>
            </w:pPr>
            <w:r w:rsidRPr="00914272">
              <w:rPr>
                <w:rFonts w:ascii="Calibri" w:hAnsi="Calibri"/>
                <w:sz w:val="20"/>
                <w:szCs w:val="20"/>
              </w:rPr>
              <w:t>660</w:t>
            </w:r>
          </w:p>
        </w:tc>
        <w:tc>
          <w:tcPr>
            <w:tcW w:w="4805" w:type="dxa"/>
            <w:tcBorders>
              <w:top w:val="nil"/>
              <w:left w:val="nil"/>
              <w:bottom w:val="single" w:sz="4" w:space="0" w:color="auto"/>
              <w:right w:val="single" w:sz="4" w:space="0" w:color="auto"/>
            </w:tcBorders>
            <w:shd w:val="clear" w:color="auto" w:fill="auto"/>
            <w:vAlign w:val="center"/>
            <w:hideMark/>
          </w:tcPr>
          <w:p w14:paraId="649F3F2A" w14:textId="66900B0B" w:rsidR="00914272" w:rsidRPr="00914272" w:rsidRDefault="00136EAD" w:rsidP="00914272">
            <w:pPr>
              <w:jc w:val="left"/>
              <w:rPr>
                <w:rFonts w:ascii="Calibri" w:hAnsi="Calibri"/>
                <w:sz w:val="20"/>
                <w:szCs w:val="20"/>
              </w:rPr>
            </w:pPr>
            <w:r>
              <w:rPr>
                <w:rFonts w:ascii="Calibri" w:hAnsi="Calibri"/>
                <w:sz w:val="20"/>
                <w:szCs w:val="20"/>
              </w:rPr>
              <w:t>Troškovi</w:t>
            </w:r>
            <w:r w:rsidR="00914272" w:rsidRPr="00914272">
              <w:rPr>
                <w:rFonts w:ascii="Calibri" w:hAnsi="Calibri"/>
                <w:sz w:val="20"/>
                <w:szCs w:val="20"/>
              </w:rPr>
              <w:t xml:space="preserve"> materijala</w:t>
            </w:r>
          </w:p>
        </w:tc>
        <w:tc>
          <w:tcPr>
            <w:tcW w:w="1560" w:type="dxa"/>
            <w:tcBorders>
              <w:top w:val="nil"/>
              <w:left w:val="nil"/>
              <w:bottom w:val="single" w:sz="4" w:space="0" w:color="auto"/>
              <w:right w:val="single" w:sz="4" w:space="0" w:color="auto"/>
            </w:tcBorders>
            <w:shd w:val="clear" w:color="auto" w:fill="auto"/>
            <w:noWrap/>
            <w:vAlign w:val="center"/>
            <w:hideMark/>
          </w:tcPr>
          <w:p w14:paraId="4C4724CB"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5.980,09</w:t>
            </w:r>
          </w:p>
        </w:tc>
        <w:tc>
          <w:tcPr>
            <w:tcW w:w="1559" w:type="dxa"/>
            <w:tcBorders>
              <w:top w:val="nil"/>
              <w:left w:val="nil"/>
              <w:bottom w:val="single" w:sz="4" w:space="0" w:color="auto"/>
              <w:right w:val="single" w:sz="4" w:space="0" w:color="auto"/>
            </w:tcBorders>
            <w:shd w:val="clear" w:color="auto" w:fill="auto"/>
            <w:noWrap/>
            <w:vAlign w:val="center"/>
            <w:hideMark/>
          </w:tcPr>
          <w:p w14:paraId="605B6738" w14:textId="77777777" w:rsidR="00914272" w:rsidRPr="00914272" w:rsidRDefault="00914272" w:rsidP="00914272">
            <w:pPr>
              <w:jc w:val="center"/>
              <w:rPr>
                <w:rFonts w:ascii="Calibri" w:hAnsi="Calibri"/>
                <w:sz w:val="20"/>
                <w:szCs w:val="20"/>
              </w:rPr>
            </w:pPr>
            <w:r w:rsidRPr="00914272">
              <w:rPr>
                <w:rFonts w:ascii="Calibri" w:hAnsi="Calibri"/>
                <w:sz w:val="20"/>
                <w:szCs w:val="20"/>
              </w:rPr>
              <w:t>0,20%</w:t>
            </w:r>
          </w:p>
        </w:tc>
      </w:tr>
      <w:tr w:rsidR="00914272" w:rsidRPr="00914272" w14:paraId="61374401"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9AAE9C0" w14:textId="77777777" w:rsidR="00914272" w:rsidRPr="00914272" w:rsidRDefault="00914272" w:rsidP="00914272">
            <w:pPr>
              <w:jc w:val="center"/>
              <w:rPr>
                <w:rFonts w:ascii="Calibri" w:hAnsi="Calibri"/>
                <w:sz w:val="20"/>
                <w:szCs w:val="20"/>
              </w:rPr>
            </w:pPr>
            <w:r w:rsidRPr="00914272">
              <w:rPr>
                <w:rFonts w:ascii="Calibri" w:hAnsi="Calibri"/>
                <w:sz w:val="20"/>
                <w:szCs w:val="20"/>
              </w:rPr>
              <w:t>661</w:t>
            </w:r>
          </w:p>
        </w:tc>
        <w:tc>
          <w:tcPr>
            <w:tcW w:w="4805" w:type="dxa"/>
            <w:tcBorders>
              <w:top w:val="nil"/>
              <w:left w:val="nil"/>
              <w:bottom w:val="single" w:sz="4" w:space="0" w:color="auto"/>
              <w:right w:val="single" w:sz="4" w:space="0" w:color="auto"/>
            </w:tcBorders>
            <w:shd w:val="clear" w:color="auto" w:fill="auto"/>
            <w:vAlign w:val="center"/>
            <w:hideMark/>
          </w:tcPr>
          <w:p w14:paraId="4CD6306F" w14:textId="77777777" w:rsidR="00914272" w:rsidRPr="00914272" w:rsidRDefault="00914272" w:rsidP="00914272">
            <w:pPr>
              <w:jc w:val="left"/>
              <w:rPr>
                <w:rFonts w:ascii="Calibri" w:hAnsi="Calibri"/>
                <w:sz w:val="20"/>
                <w:szCs w:val="20"/>
              </w:rPr>
            </w:pPr>
            <w:r w:rsidRPr="00914272">
              <w:rPr>
                <w:rFonts w:ascii="Calibri" w:hAnsi="Calibri"/>
                <w:sz w:val="20"/>
                <w:szCs w:val="20"/>
              </w:rPr>
              <w:t>Troškovi proizvodnih usluga</w:t>
            </w:r>
          </w:p>
        </w:tc>
        <w:tc>
          <w:tcPr>
            <w:tcW w:w="1560" w:type="dxa"/>
            <w:tcBorders>
              <w:top w:val="nil"/>
              <w:left w:val="nil"/>
              <w:bottom w:val="single" w:sz="4" w:space="0" w:color="auto"/>
              <w:right w:val="single" w:sz="4" w:space="0" w:color="auto"/>
            </w:tcBorders>
            <w:shd w:val="clear" w:color="auto" w:fill="auto"/>
            <w:noWrap/>
            <w:vAlign w:val="center"/>
            <w:hideMark/>
          </w:tcPr>
          <w:p w14:paraId="500CE951"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57.451,93</w:t>
            </w:r>
          </w:p>
        </w:tc>
        <w:tc>
          <w:tcPr>
            <w:tcW w:w="1559" w:type="dxa"/>
            <w:tcBorders>
              <w:top w:val="nil"/>
              <w:left w:val="nil"/>
              <w:bottom w:val="single" w:sz="4" w:space="0" w:color="auto"/>
              <w:right w:val="single" w:sz="4" w:space="0" w:color="auto"/>
            </w:tcBorders>
            <w:shd w:val="clear" w:color="auto" w:fill="auto"/>
            <w:noWrap/>
            <w:vAlign w:val="center"/>
            <w:hideMark/>
          </w:tcPr>
          <w:p w14:paraId="1A5F9DD9" w14:textId="77777777" w:rsidR="00914272" w:rsidRPr="00914272" w:rsidRDefault="00914272" w:rsidP="00914272">
            <w:pPr>
              <w:jc w:val="center"/>
              <w:rPr>
                <w:rFonts w:ascii="Calibri" w:hAnsi="Calibri"/>
                <w:sz w:val="20"/>
                <w:szCs w:val="20"/>
              </w:rPr>
            </w:pPr>
            <w:r w:rsidRPr="00914272">
              <w:rPr>
                <w:rFonts w:ascii="Calibri" w:hAnsi="Calibri"/>
                <w:sz w:val="20"/>
                <w:szCs w:val="20"/>
              </w:rPr>
              <w:t>1,88%</w:t>
            </w:r>
          </w:p>
        </w:tc>
      </w:tr>
      <w:tr w:rsidR="00914272" w:rsidRPr="00914272" w14:paraId="128CD7C7"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038C0B8" w14:textId="77777777" w:rsidR="00914272" w:rsidRPr="00914272" w:rsidRDefault="00914272" w:rsidP="00914272">
            <w:pPr>
              <w:jc w:val="center"/>
              <w:rPr>
                <w:rFonts w:ascii="Calibri" w:hAnsi="Calibri"/>
                <w:sz w:val="20"/>
                <w:szCs w:val="20"/>
              </w:rPr>
            </w:pPr>
            <w:r w:rsidRPr="00914272">
              <w:rPr>
                <w:rFonts w:ascii="Calibri" w:hAnsi="Calibri"/>
                <w:sz w:val="20"/>
                <w:szCs w:val="20"/>
              </w:rPr>
              <w:t>662</w:t>
            </w:r>
          </w:p>
        </w:tc>
        <w:tc>
          <w:tcPr>
            <w:tcW w:w="4805" w:type="dxa"/>
            <w:tcBorders>
              <w:top w:val="nil"/>
              <w:left w:val="nil"/>
              <w:bottom w:val="single" w:sz="4" w:space="0" w:color="auto"/>
              <w:right w:val="single" w:sz="4" w:space="0" w:color="auto"/>
            </w:tcBorders>
            <w:shd w:val="clear" w:color="auto" w:fill="auto"/>
            <w:vAlign w:val="center"/>
            <w:hideMark/>
          </w:tcPr>
          <w:p w14:paraId="3C460AF7" w14:textId="77777777" w:rsidR="00914272" w:rsidRPr="00914272" w:rsidRDefault="00914272" w:rsidP="00914272">
            <w:pPr>
              <w:jc w:val="left"/>
              <w:rPr>
                <w:rFonts w:ascii="Calibri" w:hAnsi="Calibri"/>
                <w:sz w:val="20"/>
                <w:szCs w:val="20"/>
              </w:rPr>
            </w:pPr>
            <w:r w:rsidRPr="00914272">
              <w:rPr>
                <w:rFonts w:ascii="Calibri" w:hAnsi="Calibri"/>
                <w:sz w:val="20"/>
                <w:szCs w:val="20"/>
              </w:rPr>
              <w:t>Troškovi amortizacije</w:t>
            </w:r>
          </w:p>
        </w:tc>
        <w:tc>
          <w:tcPr>
            <w:tcW w:w="1560" w:type="dxa"/>
            <w:tcBorders>
              <w:top w:val="nil"/>
              <w:left w:val="nil"/>
              <w:bottom w:val="single" w:sz="4" w:space="0" w:color="auto"/>
              <w:right w:val="single" w:sz="4" w:space="0" w:color="auto"/>
            </w:tcBorders>
            <w:shd w:val="clear" w:color="auto" w:fill="auto"/>
            <w:noWrap/>
            <w:vAlign w:val="center"/>
            <w:hideMark/>
          </w:tcPr>
          <w:p w14:paraId="661F8171"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47.912,67</w:t>
            </w:r>
          </w:p>
        </w:tc>
        <w:tc>
          <w:tcPr>
            <w:tcW w:w="1559" w:type="dxa"/>
            <w:tcBorders>
              <w:top w:val="nil"/>
              <w:left w:val="nil"/>
              <w:bottom w:val="single" w:sz="4" w:space="0" w:color="auto"/>
              <w:right w:val="single" w:sz="4" w:space="0" w:color="auto"/>
            </w:tcBorders>
            <w:shd w:val="clear" w:color="auto" w:fill="auto"/>
            <w:noWrap/>
            <w:vAlign w:val="center"/>
            <w:hideMark/>
          </w:tcPr>
          <w:p w14:paraId="61B5B27A" w14:textId="77777777" w:rsidR="00914272" w:rsidRPr="00914272" w:rsidRDefault="00914272" w:rsidP="00914272">
            <w:pPr>
              <w:jc w:val="center"/>
              <w:rPr>
                <w:rFonts w:ascii="Calibri" w:hAnsi="Calibri"/>
                <w:sz w:val="20"/>
                <w:szCs w:val="20"/>
              </w:rPr>
            </w:pPr>
            <w:r w:rsidRPr="00914272">
              <w:rPr>
                <w:rFonts w:ascii="Calibri" w:hAnsi="Calibri"/>
                <w:sz w:val="20"/>
                <w:szCs w:val="20"/>
              </w:rPr>
              <w:t>1,56%</w:t>
            </w:r>
          </w:p>
        </w:tc>
      </w:tr>
      <w:tr w:rsidR="00914272" w:rsidRPr="00914272" w14:paraId="726B9575"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03E9E85" w14:textId="77777777" w:rsidR="00914272" w:rsidRPr="00914272" w:rsidRDefault="00914272" w:rsidP="00914272">
            <w:pPr>
              <w:jc w:val="center"/>
              <w:rPr>
                <w:rFonts w:ascii="Calibri" w:hAnsi="Calibri"/>
                <w:sz w:val="20"/>
                <w:szCs w:val="20"/>
              </w:rPr>
            </w:pPr>
            <w:r w:rsidRPr="00914272">
              <w:rPr>
                <w:rFonts w:ascii="Calibri" w:hAnsi="Calibri"/>
                <w:sz w:val="20"/>
                <w:szCs w:val="20"/>
              </w:rPr>
              <w:t>664</w:t>
            </w:r>
          </w:p>
        </w:tc>
        <w:tc>
          <w:tcPr>
            <w:tcW w:w="4805" w:type="dxa"/>
            <w:tcBorders>
              <w:top w:val="nil"/>
              <w:left w:val="nil"/>
              <w:bottom w:val="single" w:sz="4" w:space="0" w:color="auto"/>
              <w:right w:val="single" w:sz="4" w:space="0" w:color="auto"/>
            </w:tcBorders>
            <w:shd w:val="clear" w:color="auto" w:fill="auto"/>
            <w:vAlign w:val="center"/>
            <w:hideMark/>
          </w:tcPr>
          <w:p w14:paraId="3D543B1E" w14:textId="77777777" w:rsidR="00914272" w:rsidRPr="00914272" w:rsidRDefault="00914272" w:rsidP="00914272">
            <w:pPr>
              <w:jc w:val="left"/>
              <w:rPr>
                <w:rFonts w:ascii="Calibri" w:hAnsi="Calibri"/>
                <w:sz w:val="20"/>
                <w:szCs w:val="20"/>
              </w:rPr>
            </w:pPr>
            <w:r w:rsidRPr="00914272">
              <w:rPr>
                <w:rFonts w:ascii="Calibri" w:hAnsi="Calibri"/>
                <w:sz w:val="20"/>
                <w:szCs w:val="20"/>
              </w:rPr>
              <w:t>Nematerijalni troškovi (bez poreza i doprinosa)</w:t>
            </w:r>
          </w:p>
        </w:tc>
        <w:tc>
          <w:tcPr>
            <w:tcW w:w="1560" w:type="dxa"/>
            <w:tcBorders>
              <w:top w:val="nil"/>
              <w:left w:val="nil"/>
              <w:bottom w:val="single" w:sz="4" w:space="0" w:color="auto"/>
              <w:right w:val="single" w:sz="4" w:space="0" w:color="auto"/>
            </w:tcBorders>
            <w:shd w:val="clear" w:color="auto" w:fill="auto"/>
            <w:noWrap/>
            <w:vAlign w:val="center"/>
            <w:hideMark/>
          </w:tcPr>
          <w:p w14:paraId="636CCFD4"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182.942,28</w:t>
            </w:r>
          </w:p>
        </w:tc>
        <w:tc>
          <w:tcPr>
            <w:tcW w:w="1559" w:type="dxa"/>
            <w:tcBorders>
              <w:top w:val="nil"/>
              <w:left w:val="nil"/>
              <w:bottom w:val="single" w:sz="4" w:space="0" w:color="auto"/>
              <w:right w:val="single" w:sz="4" w:space="0" w:color="auto"/>
            </w:tcBorders>
            <w:shd w:val="clear" w:color="auto" w:fill="auto"/>
            <w:noWrap/>
            <w:vAlign w:val="center"/>
            <w:hideMark/>
          </w:tcPr>
          <w:p w14:paraId="606DE15D" w14:textId="77777777" w:rsidR="00914272" w:rsidRPr="00914272" w:rsidRDefault="00914272" w:rsidP="00914272">
            <w:pPr>
              <w:jc w:val="center"/>
              <w:rPr>
                <w:rFonts w:ascii="Calibri" w:hAnsi="Calibri"/>
                <w:sz w:val="20"/>
                <w:szCs w:val="20"/>
              </w:rPr>
            </w:pPr>
            <w:r w:rsidRPr="00914272">
              <w:rPr>
                <w:rFonts w:ascii="Calibri" w:hAnsi="Calibri"/>
                <w:sz w:val="20"/>
                <w:szCs w:val="20"/>
              </w:rPr>
              <w:t>5,97%</w:t>
            </w:r>
          </w:p>
        </w:tc>
      </w:tr>
      <w:tr w:rsidR="00914272" w:rsidRPr="00914272" w14:paraId="619CD69A"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451A031" w14:textId="77777777" w:rsidR="00914272" w:rsidRPr="00914272" w:rsidRDefault="00914272" w:rsidP="00914272">
            <w:pPr>
              <w:jc w:val="center"/>
              <w:rPr>
                <w:rFonts w:ascii="Calibri" w:hAnsi="Calibri"/>
                <w:sz w:val="20"/>
                <w:szCs w:val="20"/>
              </w:rPr>
            </w:pPr>
            <w:r w:rsidRPr="00914272">
              <w:rPr>
                <w:rFonts w:ascii="Calibri" w:hAnsi="Calibri"/>
                <w:sz w:val="20"/>
                <w:szCs w:val="20"/>
              </w:rPr>
              <w:t>665</w:t>
            </w:r>
          </w:p>
        </w:tc>
        <w:tc>
          <w:tcPr>
            <w:tcW w:w="4805" w:type="dxa"/>
            <w:tcBorders>
              <w:top w:val="nil"/>
              <w:left w:val="nil"/>
              <w:bottom w:val="single" w:sz="4" w:space="0" w:color="auto"/>
              <w:right w:val="single" w:sz="4" w:space="0" w:color="auto"/>
            </w:tcBorders>
            <w:shd w:val="clear" w:color="auto" w:fill="auto"/>
            <w:vAlign w:val="center"/>
            <w:hideMark/>
          </w:tcPr>
          <w:p w14:paraId="6A7B46D9" w14:textId="77777777" w:rsidR="00914272" w:rsidRPr="00914272" w:rsidRDefault="00914272" w:rsidP="00914272">
            <w:pPr>
              <w:jc w:val="left"/>
              <w:rPr>
                <w:rFonts w:ascii="Calibri" w:hAnsi="Calibri"/>
                <w:sz w:val="20"/>
                <w:szCs w:val="20"/>
              </w:rPr>
            </w:pPr>
            <w:r w:rsidRPr="00914272">
              <w:rPr>
                <w:rFonts w:ascii="Calibri" w:hAnsi="Calibri"/>
                <w:sz w:val="20"/>
                <w:szCs w:val="20"/>
              </w:rPr>
              <w:t>Troškovi po osnovu poreza i doprinosa</w:t>
            </w:r>
          </w:p>
        </w:tc>
        <w:tc>
          <w:tcPr>
            <w:tcW w:w="1560" w:type="dxa"/>
            <w:tcBorders>
              <w:top w:val="nil"/>
              <w:left w:val="nil"/>
              <w:bottom w:val="single" w:sz="4" w:space="0" w:color="auto"/>
              <w:right w:val="single" w:sz="4" w:space="0" w:color="auto"/>
            </w:tcBorders>
            <w:shd w:val="clear" w:color="auto" w:fill="auto"/>
            <w:noWrap/>
            <w:vAlign w:val="center"/>
            <w:hideMark/>
          </w:tcPr>
          <w:p w14:paraId="1659E4E0" w14:textId="77777777" w:rsidR="00914272" w:rsidRPr="00914272" w:rsidRDefault="00914272" w:rsidP="00914272">
            <w:pPr>
              <w:jc w:val="right"/>
              <w:rPr>
                <w:rFonts w:ascii="Calibri" w:hAnsi="Calibri"/>
                <w:sz w:val="20"/>
                <w:szCs w:val="20"/>
              </w:rPr>
            </w:pPr>
            <w:r w:rsidRPr="00914272">
              <w:rPr>
                <w:rFonts w:ascii="Calibri" w:hAnsi="Calibri"/>
                <w:sz w:val="20"/>
                <w:szCs w:val="20"/>
              </w:rPr>
              <w:t>273,00</w:t>
            </w:r>
          </w:p>
        </w:tc>
        <w:tc>
          <w:tcPr>
            <w:tcW w:w="1559" w:type="dxa"/>
            <w:tcBorders>
              <w:top w:val="nil"/>
              <w:left w:val="nil"/>
              <w:bottom w:val="single" w:sz="4" w:space="0" w:color="auto"/>
              <w:right w:val="single" w:sz="4" w:space="0" w:color="auto"/>
            </w:tcBorders>
            <w:shd w:val="clear" w:color="auto" w:fill="auto"/>
            <w:noWrap/>
            <w:vAlign w:val="center"/>
            <w:hideMark/>
          </w:tcPr>
          <w:p w14:paraId="11AE2A63" w14:textId="77777777" w:rsidR="00914272" w:rsidRPr="00914272" w:rsidRDefault="00914272" w:rsidP="00914272">
            <w:pPr>
              <w:jc w:val="center"/>
              <w:rPr>
                <w:rFonts w:ascii="Calibri" w:hAnsi="Calibri"/>
                <w:sz w:val="20"/>
                <w:szCs w:val="20"/>
              </w:rPr>
            </w:pPr>
            <w:r w:rsidRPr="00914272">
              <w:rPr>
                <w:rFonts w:ascii="Calibri" w:hAnsi="Calibri"/>
                <w:sz w:val="20"/>
                <w:szCs w:val="20"/>
              </w:rPr>
              <w:t>0,01%</w:t>
            </w:r>
          </w:p>
        </w:tc>
      </w:tr>
      <w:tr w:rsidR="00914272" w:rsidRPr="00914272" w14:paraId="7C3E39AD"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8E1CC74" w14:textId="77777777" w:rsidR="00914272" w:rsidRPr="00914272" w:rsidRDefault="00914272" w:rsidP="00914272">
            <w:pPr>
              <w:jc w:val="center"/>
              <w:rPr>
                <w:rFonts w:ascii="Calibri" w:hAnsi="Calibri"/>
                <w:sz w:val="20"/>
                <w:szCs w:val="20"/>
              </w:rPr>
            </w:pPr>
            <w:r w:rsidRPr="00914272">
              <w:rPr>
                <w:rFonts w:ascii="Calibri" w:hAnsi="Calibri"/>
                <w:sz w:val="20"/>
                <w:szCs w:val="20"/>
              </w:rPr>
              <w:t>666</w:t>
            </w:r>
          </w:p>
        </w:tc>
        <w:tc>
          <w:tcPr>
            <w:tcW w:w="4805" w:type="dxa"/>
            <w:tcBorders>
              <w:top w:val="nil"/>
              <w:left w:val="nil"/>
              <w:bottom w:val="single" w:sz="4" w:space="0" w:color="auto"/>
              <w:right w:val="single" w:sz="4" w:space="0" w:color="auto"/>
            </w:tcBorders>
            <w:shd w:val="clear" w:color="auto" w:fill="auto"/>
            <w:vAlign w:val="center"/>
            <w:hideMark/>
          </w:tcPr>
          <w:p w14:paraId="696D574E" w14:textId="553284BE" w:rsidR="00914272" w:rsidRPr="00914272" w:rsidRDefault="00136EAD" w:rsidP="00914272">
            <w:pPr>
              <w:jc w:val="left"/>
              <w:rPr>
                <w:rFonts w:ascii="Calibri" w:hAnsi="Calibri"/>
                <w:sz w:val="20"/>
                <w:szCs w:val="20"/>
              </w:rPr>
            </w:pPr>
            <w:r>
              <w:rPr>
                <w:rFonts w:ascii="Calibri" w:hAnsi="Calibri"/>
                <w:sz w:val="20"/>
                <w:szCs w:val="20"/>
              </w:rPr>
              <w:t>Ostali</w:t>
            </w:r>
            <w:r w:rsidR="00914272" w:rsidRPr="00914272">
              <w:rPr>
                <w:rFonts w:ascii="Calibri" w:hAnsi="Calibri"/>
                <w:sz w:val="20"/>
                <w:szCs w:val="20"/>
              </w:rPr>
              <w:t xml:space="preserve"> </w:t>
            </w:r>
            <w:r>
              <w:rPr>
                <w:rFonts w:ascii="Calibri" w:hAnsi="Calibri"/>
                <w:sz w:val="20"/>
                <w:szCs w:val="20"/>
              </w:rPr>
              <w:t>t</w:t>
            </w:r>
            <w:r w:rsidR="00914272" w:rsidRPr="00914272">
              <w:rPr>
                <w:rFonts w:ascii="Calibri" w:hAnsi="Calibri"/>
                <w:sz w:val="20"/>
                <w:szCs w:val="20"/>
              </w:rPr>
              <w:t>roškovi</w:t>
            </w:r>
          </w:p>
        </w:tc>
        <w:tc>
          <w:tcPr>
            <w:tcW w:w="1560" w:type="dxa"/>
            <w:tcBorders>
              <w:top w:val="nil"/>
              <w:left w:val="nil"/>
              <w:bottom w:val="single" w:sz="4" w:space="0" w:color="auto"/>
              <w:right w:val="single" w:sz="4" w:space="0" w:color="auto"/>
            </w:tcBorders>
            <w:shd w:val="clear" w:color="auto" w:fill="auto"/>
            <w:noWrap/>
            <w:vAlign w:val="center"/>
            <w:hideMark/>
          </w:tcPr>
          <w:p w14:paraId="22BB2B05" w14:textId="77777777" w:rsidR="00914272" w:rsidRPr="00914272" w:rsidRDefault="00914272" w:rsidP="00914272">
            <w:pPr>
              <w:jc w:val="right"/>
              <w:rPr>
                <w:rFonts w:ascii="Calibri" w:hAnsi="Calibri"/>
                <w:sz w:val="20"/>
                <w:szCs w:val="20"/>
              </w:rPr>
            </w:pPr>
            <w:r w:rsidRPr="00914272">
              <w:rPr>
                <w:rFonts w:ascii="Calibri" w:hAnsi="Calibri"/>
                <w:sz w:val="20"/>
                <w:szCs w:val="20"/>
              </w:rPr>
              <w:t>132.121,82</w:t>
            </w:r>
          </w:p>
        </w:tc>
        <w:tc>
          <w:tcPr>
            <w:tcW w:w="1559" w:type="dxa"/>
            <w:tcBorders>
              <w:top w:val="nil"/>
              <w:left w:val="nil"/>
              <w:bottom w:val="single" w:sz="4" w:space="0" w:color="auto"/>
              <w:right w:val="single" w:sz="4" w:space="0" w:color="auto"/>
            </w:tcBorders>
            <w:shd w:val="clear" w:color="auto" w:fill="auto"/>
            <w:noWrap/>
            <w:vAlign w:val="center"/>
            <w:hideMark/>
          </w:tcPr>
          <w:p w14:paraId="016E36F0" w14:textId="77777777" w:rsidR="00914272" w:rsidRPr="00914272" w:rsidRDefault="00914272" w:rsidP="00914272">
            <w:pPr>
              <w:jc w:val="center"/>
              <w:rPr>
                <w:rFonts w:ascii="Calibri" w:hAnsi="Calibri"/>
                <w:sz w:val="20"/>
                <w:szCs w:val="20"/>
              </w:rPr>
            </w:pPr>
            <w:r w:rsidRPr="00914272">
              <w:rPr>
                <w:rFonts w:ascii="Calibri" w:hAnsi="Calibri"/>
                <w:sz w:val="20"/>
                <w:szCs w:val="20"/>
              </w:rPr>
              <w:t>4,31%</w:t>
            </w:r>
          </w:p>
        </w:tc>
      </w:tr>
      <w:tr w:rsidR="00914272" w:rsidRPr="00914272" w14:paraId="08387638"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A378D4B" w14:textId="77777777" w:rsidR="00914272" w:rsidRPr="00914272" w:rsidRDefault="00914272" w:rsidP="00914272">
            <w:pPr>
              <w:jc w:val="center"/>
              <w:rPr>
                <w:rFonts w:ascii="Calibri" w:hAnsi="Calibri"/>
                <w:sz w:val="20"/>
                <w:szCs w:val="20"/>
              </w:rPr>
            </w:pPr>
            <w:r w:rsidRPr="00914272">
              <w:rPr>
                <w:rFonts w:ascii="Calibri" w:hAnsi="Calibri"/>
                <w:sz w:val="20"/>
                <w:szCs w:val="20"/>
              </w:rPr>
              <w:t>670</w:t>
            </w:r>
          </w:p>
        </w:tc>
        <w:tc>
          <w:tcPr>
            <w:tcW w:w="4805" w:type="dxa"/>
            <w:tcBorders>
              <w:top w:val="nil"/>
              <w:left w:val="nil"/>
              <w:bottom w:val="single" w:sz="4" w:space="0" w:color="auto"/>
              <w:right w:val="single" w:sz="4" w:space="0" w:color="auto"/>
            </w:tcBorders>
            <w:shd w:val="clear" w:color="auto" w:fill="auto"/>
            <w:vAlign w:val="center"/>
            <w:hideMark/>
          </w:tcPr>
          <w:p w14:paraId="40346DC2" w14:textId="49A8B260" w:rsidR="00914272" w:rsidRPr="00914272" w:rsidRDefault="00136EAD" w:rsidP="00914272">
            <w:pPr>
              <w:jc w:val="left"/>
              <w:rPr>
                <w:rFonts w:ascii="Calibri" w:hAnsi="Calibri"/>
                <w:sz w:val="20"/>
                <w:szCs w:val="20"/>
              </w:rPr>
            </w:pPr>
            <w:r>
              <w:rPr>
                <w:rFonts w:ascii="Calibri" w:hAnsi="Calibri"/>
                <w:sz w:val="20"/>
                <w:szCs w:val="20"/>
              </w:rPr>
              <w:t>Rashod indirektnih otpisa plasmana</w:t>
            </w:r>
          </w:p>
        </w:tc>
        <w:tc>
          <w:tcPr>
            <w:tcW w:w="1560" w:type="dxa"/>
            <w:tcBorders>
              <w:top w:val="nil"/>
              <w:left w:val="nil"/>
              <w:bottom w:val="single" w:sz="4" w:space="0" w:color="auto"/>
              <w:right w:val="single" w:sz="4" w:space="0" w:color="auto"/>
            </w:tcBorders>
            <w:shd w:val="clear" w:color="auto" w:fill="auto"/>
            <w:noWrap/>
            <w:vAlign w:val="center"/>
            <w:hideMark/>
          </w:tcPr>
          <w:p w14:paraId="36637A87"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28.472,77</w:t>
            </w:r>
          </w:p>
        </w:tc>
        <w:tc>
          <w:tcPr>
            <w:tcW w:w="1559" w:type="dxa"/>
            <w:tcBorders>
              <w:top w:val="nil"/>
              <w:left w:val="nil"/>
              <w:bottom w:val="single" w:sz="4" w:space="0" w:color="auto"/>
              <w:right w:val="single" w:sz="4" w:space="0" w:color="auto"/>
            </w:tcBorders>
            <w:shd w:val="clear" w:color="auto" w:fill="auto"/>
            <w:noWrap/>
            <w:vAlign w:val="center"/>
            <w:hideMark/>
          </w:tcPr>
          <w:p w14:paraId="216058B9" w14:textId="77777777" w:rsidR="00914272" w:rsidRPr="00914272" w:rsidRDefault="00914272" w:rsidP="00914272">
            <w:pPr>
              <w:jc w:val="center"/>
              <w:rPr>
                <w:rFonts w:ascii="Calibri" w:hAnsi="Calibri"/>
                <w:sz w:val="20"/>
                <w:szCs w:val="20"/>
              </w:rPr>
            </w:pPr>
            <w:r w:rsidRPr="00914272">
              <w:rPr>
                <w:rFonts w:ascii="Calibri" w:hAnsi="Calibri"/>
                <w:sz w:val="20"/>
                <w:szCs w:val="20"/>
              </w:rPr>
              <w:t>0,93%</w:t>
            </w:r>
          </w:p>
        </w:tc>
      </w:tr>
      <w:tr w:rsidR="00914272" w:rsidRPr="00914272" w14:paraId="5D334103" w14:textId="77777777" w:rsidTr="00914272">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91C00FB" w14:textId="77777777" w:rsidR="00914272" w:rsidRPr="00914272" w:rsidRDefault="00914272" w:rsidP="00914272">
            <w:pPr>
              <w:jc w:val="center"/>
              <w:rPr>
                <w:rFonts w:ascii="Calibri" w:hAnsi="Calibri"/>
                <w:sz w:val="20"/>
                <w:szCs w:val="20"/>
              </w:rPr>
            </w:pPr>
            <w:r w:rsidRPr="00914272">
              <w:rPr>
                <w:rFonts w:ascii="Calibri" w:hAnsi="Calibri"/>
                <w:sz w:val="20"/>
                <w:szCs w:val="20"/>
              </w:rPr>
              <w:t>678</w:t>
            </w:r>
          </w:p>
        </w:tc>
        <w:tc>
          <w:tcPr>
            <w:tcW w:w="4805" w:type="dxa"/>
            <w:tcBorders>
              <w:top w:val="nil"/>
              <w:left w:val="nil"/>
              <w:bottom w:val="single" w:sz="4" w:space="0" w:color="auto"/>
              <w:right w:val="single" w:sz="4" w:space="0" w:color="auto"/>
            </w:tcBorders>
            <w:shd w:val="clear" w:color="auto" w:fill="auto"/>
            <w:vAlign w:val="center"/>
            <w:hideMark/>
          </w:tcPr>
          <w:p w14:paraId="425E97B1" w14:textId="16AE2FE7" w:rsidR="00914272" w:rsidRPr="00914272" w:rsidRDefault="00136EAD" w:rsidP="00914272">
            <w:pPr>
              <w:jc w:val="left"/>
              <w:rPr>
                <w:rFonts w:ascii="Calibri" w:hAnsi="Calibri"/>
                <w:sz w:val="20"/>
                <w:szCs w:val="20"/>
              </w:rPr>
            </w:pPr>
            <w:r>
              <w:rPr>
                <w:rFonts w:ascii="Calibri" w:hAnsi="Calibri"/>
                <w:sz w:val="20"/>
                <w:szCs w:val="20"/>
              </w:rPr>
              <w:t xml:space="preserve">Ostali rashodi </w:t>
            </w:r>
          </w:p>
        </w:tc>
        <w:tc>
          <w:tcPr>
            <w:tcW w:w="1560" w:type="dxa"/>
            <w:tcBorders>
              <w:top w:val="nil"/>
              <w:left w:val="nil"/>
              <w:bottom w:val="single" w:sz="4" w:space="0" w:color="auto"/>
              <w:right w:val="single" w:sz="4" w:space="0" w:color="auto"/>
            </w:tcBorders>
            <w:shd w:val="clear" w:color="auto" w:fill="auto"/>
            <w:noWrap/>
            <w:vAlign w:val="center"/>
            <w:hideMark/>
          </w:tcPr>
          <w:p w14:paraId="41EE3A8A" w14:textId="77777777" w:rsidR="00914272" w:rsidRPr="00914272" w:rsidRDefault="00914272" w:rsidP="00914272">
            <w:pPr>
              <w:jc w:val="right"/>
              <w:rPr>
                <w:rFonts w:ascii="Calibri" w:hAnsi="Calibri"/>
                <w:color w:val="auto"/>
                <w:sz w:val="20"/>
                <w:szCs w:val="20"/>
              </w:rPr>
            </w:pPr>
            <w:r w:rsidRPr="00914272">
              <w:rPr>
                <w:rFonts w:ascii="Calibri" w:hAnsi="Calibri"/>
                <w:color w:val="auto"/>
                <w:sz w:val="20"/>
                <w:szCs w:val="20"/>
              </w:rPr>
              <w:t>420,26</w:t>
            </w:r>
          </w:p>
        </w:tc>
        <w:tc>
          <w:tcPr>
            <w:tcW w:w="1559" w:type="dxa"/>
            <w:tcBorders>
              <w:top w:val="nil"/>
              <w:left w:val="nil"/>
              <w:bottom w:val="single" w:sz="4" w:space="0" w:color="auto"/>
              <w:right w:val="single" w:sz="4" w:space="0" w:color="auto"/>
            </w:tcBorders>
            <w:shd w:val="clear" w:color="auto" w:fill="auto"/>
            <w:noWrap/>
            <w:vAlign w:val="center"/>
            <w:hideMark/>
          </w:tcPr>
          <w:p w14:paraId="6B48A6C8" w14:textId="77777777" w:rsidR="00914272" w:rsidRPr="00914272" w:rsidRDefault="00914272" w:rsidP="00914272">
            <w:pPr>
              <w:jc w:val="center"/>
              <w:rPr>
                <w:rFonts w:ascii="Calibri" w:hAnsi="Calibri"/>
                <w:sz w:val="20"/>
                <w:szCs w:val="20"/>
              </w:rPr>
            </w:pPr>
            <w:r w:rsidRPr="00914272">
              <w:rPr>
                <w:rFonts w:ascii="Calibri" w:hAnsi="Calibri"/>
                <w:sz w:val="20"/>
                <w:szCs w:val="20"/>
              </w:rPr>
              <w:t>0,01%</w:t>
            </w:r>
          </w:p>
        </w:tc>
      </w:tr>
      <w:tr w:rsidR="00914272" w:rsidRPr="00914272" w14:paraId="407E5DCE" w14:textId="77777777" w:rsidTr="00914272">
        <w:trPr>
          <w:trHeight w:val="315"/>
        </w:trPr>
        <w:tc>
          <w:tcPr>
            <w:tcW w:w="5685"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125201C2" w14:textId="2A9B98DB" w:rsidR="00914272" w:rsidRPr="00914272" w:rsidRDefault="00914272" w:rsidP="00914272">
            <w:pPr>
              <w:jc w:val="center"/>
              <w:rPr>
                <w:rFonts w:ascii="Calibri" w:hAnsi="Calibri"/>
                <w:b/>
                <w:bCs/>
                <w:sz w:val="20"/>
                <w:szCs w:val="20"/>
              </w:rPr>
            </w:pPr>
            <w:r w:rsidRPr="00914272">
              <w:rPr>
                <w:rFonts w:ascii="Calibri" w:hAnsi="Calibri"/>
                <w:b/>
                <w:bCs/>
                <w:sz w:val="20"/>
                <w:szCs w:val="20"/>
              </w:rPr>
              <w:t>Ukupn</w:t>
            </w:r>
            <w:r w:rsidR="00136EAD">
              <w:rPr>
                <w:rFonts w:ascii="Calibri" w:hAnsi="Calibri"/>
                <w:b/>
                <w:bCs/>
                <w:sz w:val="20"/>
                <w:szCs w:val="20"/>
              </w:rPr>
              <w:t xml:space="preserve">o </w:t>
            </w:r>
            <w:r w:rsidRPr="00914272">
              <w:rPr>
                <w:rFonts w:ascii="Calibri" w:hAnsi="Calibri"/>
                <w:b/>
                <w:bCs/>
                <w:sz w:val="20"/>
                <w:szCs w:val="20"/>
              </w:rPr>
              <w:t>troškovi</w:t>
            </w:r>
          </w:p>
        </w:tc>
        <w:tc>
          <w:tcPr>
            <w:tcW w:w="1560" w:type="dxa"/>
            <w:tcBorders>
              <w:top w:val="nil"/>
              <w:left w:val="nil"/>
              <w:bottom w:val="single" w:sz="4" w:space="0" w:color="auto"/>
              <w:right w:val="single" w:sz="4" w:space="0" w:color="auto"/>
            </w:tcBorders>
            <w:shd w:val="clear" w:color="000000" w:fill="8DB4E2"/>
            <w:noWrap/>
            <w:vAlign w:val="center"/>
            <w:hideMark/>
          </w:tcPr>
          <w:p w14:paraId="6F1A3801" w14:textId="77777777" w:rsidR="00914272" w:rsidRPr="00914272" w:rsidRDefault="00914272" w:rsidP="00914272">
            <w:pPr>
              <w:jc w:val="right"/>
              <w:rPr>
                <w:rFonts w:ascii="Calibri" w:hAnsi="Calibri"/>
                <w:b/>
                <w:bCs/>
                <w:color w:val="auto"/>
                <w:sz w:val="20"/>
                <w:szCs w:val="20"/>
              </w:rPr>
            </w:pPr>
            <w:r w:rsidRPr="00914272">
              <w:rPr>
                <w:rFonts w:ascii="Calibri" w:hAnsi="Calibri"/>
                <w:b/>
                <w:bCs/>
                <w:color w:val="auto"/>
                <w:sz w:val="20"/>
                <w:szCs w:val="20"/>
              </w:rPr>
              <w:t>1.965.356,65</w:t>
            </w:r>
          </w:p>
        </w:tc>
        <w:tc>
          <w:tcPr>
            <w:tcW w:w="1559" w:type="dxa"/>
            <w:tcBorders>
              <w:top w:val="nil"/>
              <w:left w:val="nil"/>
              <w:bottom w:val="single" w:sz="4" w:space="0" w:color="auto"/>
              <w:right w:val="single" w:sz="4" w:space="0" w:color="auto"/>
            </w:tcBorders>
            <w:shd w:val="clear" w:color="000000" w:fill="8DB4E2"/>
            <w:noWrap/>
            <w:vAlign w:val="center"/>
            <w:hideMark/>
          </w:tcPr>
          <w:p w14:paraId="5BE377F8"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64,18%</w:t>
            </w:r>
          </w:p>
        </w:tc>
      </w:tr>
      <w:tr w:rsidR="00914272" w:rsidRPr="00914272" w14:paraId="7AF274D8" w14:textId="77777777" w:rsidTr="00914272">
        <w:trPr>
          <w:trHeight w:val="315"/>
        </w:trPr>
        <w:tc>
          <w:tcPr>
            <w:tcW w:w="5685"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4AE17337"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UKUPNO RASHODI</w:t>
            </w:r>
          </w:p>
        </w:tc>
        <w:tc>
          <w:tcPr>
            <w:tcW w:w="1560" w:type="dxa"/>
            <w:tcBorders>
              <w:top w:val="nil"/>
              <w:left w:val="nil"/>
              <w:bottom w:val="single" w:sz="4" w:space="0" w:color="auto"/>
              <w:right w:val="single" w:sz="4" w:space="0" w:color="auto"/>
            </w:tcBorders>
            <w:shd w:val="clear" w:color="000000" w:fill="8DB4E2"/>
            <w:noWrap/>
            <w:vAlign w:val="center"/>
            <w:hideMark/>
          </w:tcPr>
          <w:p w14:paraId="460DD47B" w14:textId="77777777" w:rsidR="00914272" w:rsidRPr="00914272" w:rsidRDefault="00914272" w:rsidP="00914272">
            <w:pPr>
              <w:jc w:val="right"/>
              <w:rPr>
                <w:rFonts w:ascii="Calibri" w:hAnsi="Calibri"/>
                <w:b/>
                <w:bCs/>
                <w:color w:val="auto"/>
                <w:sz w:val="20"/>
                <w:szCs w:val="20"/>
              </w:rPr>
            </w:pPr>
            <w:r w:rsidRPr="00914272">
              <w:rPr>
                <w:rFonts w:ascii="Calibri" w:hAnsi="Calibri"/>
                <w:b/>
                <w:bCs/>
                <w:color w:val="auto"/>
                <w:sz w:val="20"/>
                <w:szCs w:val="20"/>
              </w:rPr>
              <w:t>3.062.064,17</w:t>
            </w:r>
          </w:p>
        </w:tc>
        <w:tc>
          <w:tcPr>
            <w:tcW w:w="1559" w:type="dxa"/>
            <w:tcBorders>
              <w:top w:val="nil"/>
              <w:left w:val="nil"/>
              <w:bottom w:val="single" w:sz="4" w:space="0" w:color="auto"/>
              <w:right w:val="single" w:sz="4" w:space="0" w:color="auto"/>
            </w:tcBorders>
            <w:shd w:val="clear" w:color="000000" w:fill="8DB4E2"/>
            <w:noWrap/>
            <w:vAlign w:val="center"/>
            <w:hideMark/>
          </w:tcPr>
          <w:p w14:paraId="1B9D41CF" w14:textId="77777777" w:rsidR="00914272" w:rsidRPr="00914272" w:rsidRDefault="00914272" w:rsidP="00914272">
            <w:pPr>
              <w:jc w:val="center"/>
              <w:rPr>
                <w:rFonts w:ascii="Calibri" w:hAnsi="Calibri"/>
                <w:b/>
                <w:bCs/>
                <w:sz w:val="20"/>
                <w:szCs w:val="20"/>
              </w:rPr>
            </w:pPr>
            <w:r w:rsidRPr="00914272">
              <w:rPr>
                <w:rFonts w:ascii="Calibri" w:hAnsi="Calibri"/>
                <w:b/>
                <w:bCs/>
                <w:sz w:val="20"/>
                <w:szCs w:val="20"/>
              </w:rPr>
              <w:t>100,00%</w:t>
            </w:r>
          </w:p>
        </w:tc>
      </w:tr>
    </w:tbl>
    <w:p w14:paraId="427969B8" w14:textId="77777777" w:rsidR="00E84021" w:rsidRDefault="00914272" w:rsidP="001538EF">
      <w:pPr>
        <w:rPr>
          <w:rFonts w:asciiTheme="minorHAnsi" w:hAnsiTheme="minorHAnsi"/>
          <w:sz w:val="20"/>
          <w:szCs w:val="20"/>
          <w:lang w:val="sr-Cyrl-CS" w:eastAsia="sr-Cyrl-CS"/>
        </w:rPr>
      </w:pPr>
      <w:r>
        <w:rPr>
          <w:rFonts w:asciiTheme="minorHAnsi" w:hAnsiTheme="minorHAnsi"/>
          <w:sz w:val="20"/>
          <w:szCs w:val="20"/>
          <w:lang w:eastAsia="sr-Cyrl-CS"/>
        </w:rPr>
        <w:t>Troškovi zarada imaju najveće učešće u ostvarenim rashodima tokom 2023. godine, a ono iznosi 25,86%. Na drugom mjestu se nalaze rashodi rezervisanja po vanbilansnoj aktivi sa učešćem od 24,57%. Ove dvije grupe troškova čine 50,43% ili nešto više od polovine svih ostvarenih rashoda u 2023. godini. Na trećem mjestu se nalaze troškovi doprinosa na zarade i naknade zarada sa učešćem od 14,22%, a na četvrtom mjestu su rashodi kamata sa učešćem od 8,93%.</w:t>
      </w:r>
    </w:p>
    <w:p w14:paraId="46D99D5F" w14:textId="77777777" w:rsidR="00B84B91" w:rsidRDefault="00B84B91" w:rsidP="001538EF">
      <w:pPr>
        <w:rPr>
          <w:rFonts w:asciiTheme="minorHAnsi" w:hAnsiTheme="minorHAnsi"/>
          <w:sz w:val="20"/>
          <w:szCs w:val="20"/>
          <w:lang w:val="sr-Cyrl-CS" w:eastAsia="sr-Cyrl-CS"/>
        </w:rPr>
      </w:pPr>
    </w:p>
    <w:p w14:paraId="25772413" w14:textId="77777777" w:rsidR="00914272" w:rsidRDefault="00914272" w:rsidP="001538EF">
      <w:pPr>
        <w:rPr>
          <w:rFonts w:asciiTheme="minorHAnsi" w:hAnsiTheme="minorHAnsi"/>
          <w:sz w:val="20"/>
          <w:szCs w:val="20"/>
          <w:lang w:eastAsia="sr-Cyrl-CS"/>
        </w:rPr>
      </w:pPr>
      <w:r>
        <w:rPr>
          <w:rFonts w:asciiTheme="minorHAnsi" w:hAnsiTheme="minorHAnsi"/>
          <w:sz w:val="20"/>
          <w:szCs w:val="20"/>
          <w:lang w:eastAsia="sr-Cyrl-CS"/>
        </w:rPr>
        <w:t>Svi ostali troškovi pobrojani u tabeli imaju vrlo malo pojedinačno učešće u troškovima, a zbirno čine tek nešto više od jedne četvrtine ukupno ostvarenih rashoda Garantnog fonda u 2023. godini.</w:t>
      </w:r>
    </w:p>
    <w:p w14:paraId="7E648EE6" w14:textId="77777777" w:rsidR="00CC2EB2" w:rsidRDefault="00CC2EB2" w:rsidP="001538EF">
      <w:pPr>
        <w:rPr>
          <w:rFonts w:asciiTheme="minorHAnsi" w:hAnsiTheme="minorHAnsi"/>
          <w:sz w:val="20"/>
          <w:szCs w:val="20"/>
          <w:lang w:val="sr-Cyrl-CS" w:eastAsia="sr-Cyrl-CS"/>
        </w:rPr>
      </w:pPr>
    </w:p>
    <w:p w14:paraId="66AFA938" w14:textId="77777777" w:rsidR="00B54DD1" w:rsidRPr="005767EF" w:rsidRDefault="00B54DD1" w:rsidP="001538EF">
      <w:pPr>
        <w:rPr>
          <w:rFonts w:asciiTheme="minorHAnsi" w:hAnsiTheme="minorHAnsi"/>
          <w:sz w:val="20"/>
          <w:szCs w:val="20"/>
          <w:lang w:val="sr-Cyrl-CS" w:eastAsia="sr-Cyrl-CS"/>
        </w:rPr>
      </w:pPr>
    </w:p>
    <w:p w14:paraId="7BFBABA5" w14:textId="77777777" w:rsidR="001538EF" w:rsidRPr="005767EF" w:rsidRDefault="00E84021" w:rsidP="00EE16CE">
      <w:pPr>
        <w:pStyle w:val="Heading2"/>
        <w:numPr>
          <w:ilvl w:val="0"/>
          <w:numId w:val="0"/>
        </w:numPr>
        <w:rPr>
          <w:rFonts w:asciiTheme="minorHAnsi" w:hAnsiTheme="minorHAnsi"/>
          <w:szCs w:val="20"/>
        </w:rPr>
      </w:pPr>
      <w:bookmarkStart w:id="16" w:name="_Toc135292177"/>
      <w:r>
        <w:rPr>
          <w:rFonts w:asciiTheme="minorHAnsi" w:hAnsiTheme="minorHAnsi"/>
          <w:szCs w:val="20"/>
        </w:rPr>
        <w:lastRenderedPageBreak/>
        <w:t>3.3. OSTVARENI FINANSIJSKI REZULTAT U 2023. GODINI</w:t>
      </w:r>
      <w:bookmarkEnd w:id="16"/>
    </w:p>
    <w:p w14:paraId="00F4E523" w14:textId="77777777" w:rsidR="001538EF" w:rsidRPr="005767EF" w:rsidRDefault="001538EF" w:rsidP="001538EF">
      <w:pPr>
        <w:pStyle w:val="Heading2"/>
        <w:numPr>
          <w:ilvl w:val="0"/>
          <w:numId w:val="0"/>
        </w:numPr>
        <w:rPr>
          <w:rFonts w:asciiTheme="minorHAnsi" w:hAnsiTheme="minorHAnsi"/>
          <w:szCs w:val="20"/>
        </w:rPr>
      </w:pPr>
    </w:p>
    <w:p w14:paraId="4E071D7F" w14:textId="77777777" w:rsidR="001538EF" w:rsidRPr="00EE16CE" w:rsidRDefault="001538EF" w:rsidP="001538EF">
      <w:pPr>
        <w:jc w:val="center"/>
        <w:rPr>
          <w:rFonts w:asciiTheme="minorHAnsi" w:hAnsiTheme="minorHAnsi"/>
          <w:b/>
          <w:sz w:val="20"/>
          <w:szCs w:val="20"/>
          <w:lang w:val="sr-Cyrl-RS" w:eastAsia="sr-Cyrl-CS"/>
        </w:rPr>
      </w:pPr>
      <w:r w:rsidRPr="005767EF">
        <w:rPr>
          <w:rFonts w:asciiTheme="minorHAnsi" w:hAnsiTheme="minorHAnsi"/>
          <w:b/>
          <w:sz w:val="20"/>
          <w:szCs w:val="20"/>
          <w:lang w:eastAsia="sr-Cyrl-CS"/>
        </w:rPr>
        <w:t>Pregled finansijskog rezultata u 2023. godini</w:t>
      </w:r>
    </w:p>
    <w:p w14:paraId="02036A4F" w14:textId="77777777" w:rsidR="001538EF" w:rsidRPr="005767EF" w:rsidRDefault="001538EF" w:rsidP="001538EF">
      <w:pPr>
        <w:rPr>
          <w:rFonts w:asciiTheme="minorHAnsi" w:hAnsiTheme="minorHAnsi"/>
          <w:sz w:val="20"/>
          <w:szCs w:val="20"/>
          <w:lang w:val="sr-Cyrl-CS" w:eastAsia="sr-Cyrl-CS"/>
        </w:rPr>
      </w:pPr>
    </w:p>
    <w:p w14:paraId="5811F71E" w14:textId="77777777" w:rsidR="001538EF" w:rsidRPr="005767EF"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t xml:space="preserve">               </w:t>
      </w:r>
      <w:r w:rsidR="009346DA">
        <w:rPr>
          <w:rFonts w:asciiTheme="minorHAnsi" w:eastAsia="Calibri" w:hAnsiTheme="minorHAnsi"/>
          <w:b/>
          <w:color w:val="auto"/>
          <w:sz w:val="20"/>
          <w:szCs w:val="20"/>
          <w:lang w:eastAsia="en-US"/>
        </w:rPr>
        <w:t>Tabela 25</w:t>
      </w:r>
    </w:p>
    <w:tbl>
      <w:tblPr>
        <w:tblW w:w="8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3"/>
        <w:gridCol w:w="1560"/>
        <w:gridCol w:w="1559"/>
        <w:gridCol w:w="1286"/>
      </w:tblGrid>
      <w:tr w:rsidR="001538EF" w:rsidRPr="005767EF" w14:paraId="77F72384" w14:textId="77777777" w:rsidTr="00B54DD1">
        <w:trPr>
          <w:trHeight w:val="558"/>
          <w:jc w:val="center"/>
        </w:trPr>
        <w:tc>
          <w:tcPr>
            <w:tcW w:w="4093" w:type="dxa"/>
            <w:shd w:val="clear" w:color="auto" w:fill="8DB3E2" w:themeFill="text2" w:themeFillTint="66"/>
            <w:noWrap/>
            <w:vAlign w:val="center"/>
            <w:hideMark/>
          </w:tcPr>
          <w:p w14:paraId="4442305D" w14:textId="77777777" w:rsidR="001538EF" w:rsidRPr="005767EF" w:rsidRDefault="001538EF" w:rsidP="001538EF">
            <w:pPr>
              <w:jc w:val="center"/>
              <w:rPr>
                <w:rFonts w:asciiTheme="minorHAnsi" w:hAnsiTheme="minorHAnsi"/>
                <w:b/>
                <w:bCs/>
                <w:sz w:val="20"/>
                <w:szCs w:val="20"/>
                <w:lang w:val="en-US" w:eastAsia="en-US"/>
              </w:rPr>
            </w:pPr>
            <w:r w:rsidRPr="005767EF">
              <w:rPr>
                <w:rFonts w:asciiTheme="minorHAnsi" w:hAnsiTheme="minorHAnsi"/>
                <w:b/>
                <w:bCs/>
                <w:sz w:val="20"/>
                <w:szCs w:val="20"/>
                <w:lang w:eastAsia="en-US"/>
              </w:rPr>
              <w:t>Opis</w:t>
            </w:r>
          </w:p>
        </w:tc>
        <w:tc>
          <w:tcPr>
            <w:tcW w:w="1560" w:type="dxa"/>
            <w:shd w:val="clear" w:color="auto" w:fill="8DB3E2" w:themeFill="text2" w:themeFillTint="66"/>
            <w:vAlign w:val="center"/>
          </w:tcPr>
          <w:p w14:paraId="3A4630EF" w14:textId="77777777" w:rsidR="001538EF" w:rsidRPr="005767EF" w:rsidRDefault="001538EF" w:rsidP="00D834EE">
            <w:pPr>
              <w:jc w:val="center"/>
              <w:rPr>
                <w:rFonts w:asciiTheme="minorHAnsi" w:hAnsiTheme="minorHAnsi"/>
                <w:b/>
                <w:bCs/>
                <w:sz w:val="20"/>
                <w:szCs w:val="20"/>
                <w:lang w:val="sr-Cyrl-BA" w:eastAsia="en-US"/>
              </w:rPr>
            </w:pPr>
            <w:r w:rsidRPr="005767EF">
              <w:rPr>
                <w:rFonts w:asciiTheme="minorHAnsi" w:hAnsiTheme="minorHAnsi"/>
                <w:b/>
                <w:bCs/>
                <w:sz w:val="20"/>
                <w:szCs w:val="20"/>
                <w:lang w:eastAsia="en-US"/>
              </w:rPr>
              <w:t>Planirano 2023. godine</w:t>
            </w:r>
          </w:p>
        </w:tc>
        <w:tc>
          <w:tcPr>
            <w:tcW w:w="1559" w:type="dxa"/>
            <w:shd w:val="clear" w:color="auto" w:fill="8DB3E2" w:themeFill="text2" w:themeFillTint="66"/>
            <w:noWrap/>
            <w:vAlign w:val="center"/>
            <w:hideMark/>
          </w:tcPr>
          <w:p w14:paraId="31D00FCD" w14:textId="65259983" w:rsidR="001538EF" w:rsidRPr="00CC2EB2" w:rsidRDefault="00CC2EB2" w:rsidP="001538EF">
            <w:pPr>
              <w:jc w:val="center"/>
              <w:rPr>
                <w:rFonts w:asciiTheme="minorHAnsi" w:hAnsiTheme="minorHAnsi"/>
                <w:b/>
                <w:bCs/>
                <w:sz w:val="20"/>
                <w:szCs w:val="20"/>
                <w:lang w:val="sr-Latn-BA" w:eastAsia="en-US"/>
              </w:rPr>
            </w:pPr>
            <w:r>
              <w:rPr>
                <w:rFonts w:asciiTheme="minorHAnsi" w:hAnsiTheme="minorHAnsi"/>
                <w:b/>
                <w:bCs/>
                <w:sz w:val="20"/>
                <w:szCs w:val="20"/>
                <w:lang w:val="sr-Latn-BA" w:eastAsia="en-US"/>
              </w:rPr>
              <w:t xml:space="preserve">Ostvareno </w:t>
            </w:r>
          </w:p>
          <w:p w14:paraId="15FAF02F" w14:textId="77777777" w:rsidR="001538EF" w:rsidRPr="005767EF" w:rsidRDefault="001538EF" w:rsidP="00D834EE">
            <w:pPr>
              <w:jc w:val="center"/>
              <w:rPr>
                <w:rFonts w:asciiTheme="minorHAnsi" w:hAnsiTheme="minorHAnsi"/>
                <w:b/>
                <w:bCs/>
                <w:sz w:val="20"/>
                <w:szCs w:val="20"/>
                <w:lang w:val="sr-Cyrl-BA" w:eastAsia="en-US"/>
              </w:rPr>
            </w:pPr>
            <w:r w:rsidRPr="005767EF">
              <w:rPr>
                <w:rFonts w:asciiTheme="minorHAnsi" w:hAnsiTheme="minorHAnsi"/>
                <w:b/>
                <w:bCs/>
                <w:sz w:val="20"/>
                <w:szCs w:val="20"/>
                <w:lang w:eastAsia="en-US"/>
              </w:rPr>
              <w:t>2023. године</w:t>
            </w:r>
          </w:p>
        </w:tc>
        <w:tc>
          <w:tcPr>
            <w:tcW w:w="1286" w:type="dxa"/>
            <w:shd w:val="clear" w:color="auto" w:fill="8DB3E2" w:themeFill="text2" w:themeFillTint="66"/>
            <w:vAlign w:val="center"/>
          </w:tcPr>
          <w:p w14:paraId="56DD0434" w14:textId="77777777" w:rsidR="001538EF" w:rsidRPr="005767EF" w:rsidRDefault="001538EF" w:rsidP="00B54DD1">
            <w:pPr>
              <w:jc w:val="center"/>
              <w:rPr>
                <w:rFonts w:asciiTheme="minorHAnsi" w:hAnsiTheme="minorHAnsi"/>
                <w:b/>
                <w:bCs/>
                <w:sz w:val="20"/>
                <w:szCs w:val="20"/>
                <w:lang w:val="sr-Cyrl-BA" w:eastAsia="en-US"/>
              </w:rPr>
            </w:pPr>
            <w:r w:rsidRPr="005767EF">
              <w:rPr>
                <w:rFonts w:asciiTheme="minorHAnsi" w:hAnsiTheme="minorHAnsi"/>
                <w:b/>
                <w:bCs/>
                <w:sz w:val="20"/>
                <w:szCs w:val="20"/>
                <w:lang w:eastAsia="en-US"/>
              </w:rPr>
              <w:t>Indeks</w:t>
            </w:r>
          </w:p>
        </w:tc>
      </w:tr>
      <w:tr w:rsidR="00D834EE" w:rsidRPr="005767EF" w14:paraId="6D7F710E" w14:textId="77777777" w:rsidTr="009346DA">
        <w:trPr>
          <w:trHeight w:val="300"/>
          <w:jc w:val="center"/>
        </w:trPr>
        <w:tc>
          <w:tcPr>
            <w:tcW w:w="4093" w:type="dxa"/>
            <w:shd w:val="clear" w:color="000000" w:fill="FFFFFF"/>
            <w:noWrap/>
            <w:vAlign w:val="center"/>
            <w:hideMark/>
          </w:tcPr>
          <w:p w14:paraId="5F1A7CFB" w14:textId="5C464A06" w:rsidR="00D834EE" w:rsidRPr="005767EF" w:rsidRDefault="00CC2EB2" w:rsidP="001538EF">
            <w:pPr>
              <w:jc w:val="left"/>
              <w:rPr>
                <w:rFonts w:asciiTheme="minorHAnsi" w:hAnsiTheme="minorHAnsi"/>
                <w:b/>
                <w:bCs/>
                <w:iCs/>
                <w:sz w:val="20"/>
                <w:szCs w:val="20"/>
                <w:lang w:val="en-US" w:eastAsia="en-US"/>
              </w:rPr>
            </w:pPr>
            <w:r>
              <w:rPr>
                <w:rFonts w:asciiTheme="minorHAnsi" w:hAnsiTheme="minorHAnsi"/>
                <w:b/>
                <w:bCs/>
                <w:iCs/>
                <w:sz w:val="20"/>
                <w:szCs w:val="20"/>
                <w:lang w:val="en-US" w:eastAsia="en-US"/>
              </w:rPr>
              <w:t>Ukupni prihodi</w:t>
            </w:r>
          </w:p>
        </w:tc>
        <w:tc>
          <w:tcPr>
            <w:tcW w:w="1560" w:type="dxa"/>
            <w:shd w:val="clear" w:color="000000" w:fill="FFFFFF"/>
            <w:vAlign w:val="center"/>
          </w:tcPr>
          <w:p w14:paraId="1639971B" w14:textId="77777777" w:rsidR="00D834EE" w:rsidRPr="005767EF" w:rsidRDefault="00D834EE" w:rsidP="00D834EE">
            <w:pPr>
              <w:jc w:val="right"/>
              <w:rPr>
                <w:rFonts w:asciiTheme="minorHAnsi" w:hAnsiTheme="minorHAnsi"/>
                <w:b/>
                <w:sz w:val="20"/>
                <w:szCs w:val="20"/>
                <w:lang w:val="sr-Cyrl-BA"/>
              </w:rPr>
            </w:pPr>
            <w:r w:rsidRPr="005767EF">
              <w:rPr>
                <w:rFonts w:asciiTheme="minorHAnsi" w:hAnsiTheme="minorHAnsi"/>
                <w:b/>
                <w:sz w:val="20"/>
                <w:szCs w:val="20"/>
              </w:rPr>
              <w:t>2.213.000,00</w:t>
            </w:r>
          </w:p>
        </w:tc>
        <w:tc>
          <w:tcPr>
            <w:tcW w:w="1559" w:type="dxa"/>
            <w:shd w:val="clear" w:color="000000" w:fill="FFFFFF"/>
            <w:vAlign w:val="center"/>
          </w:tcPr>
          <w:p w14:paraId="3A66AC31" w14:textId="77777777" w:rsidR="00D834EE" w:rsidRPr="005767EF" w:rsidRDefault="00D834EE" w:rsidP="00D834EE">
            <w:pPr>
              <w:jc w:val="right"/>
              <w:rPr>
                <w:rFonts w:asciiTheme="minorHAnsi" w:hAnsiTheme="minorHAnsi"/>
                <w:b/>
                <w:sz w:val="20"/>
                <w:szCs w:val="20"/>
                <w:lang w:val="sr-Cyrl-BA"/>
              </w:rPr>
            </w:pPr>
            <w:r w:rsidRPr="005767EF">
              <w:rPr>
                <w:rFonts w:asciiTheme="minorHAnsi" w:hAnsiTheme="minorHAnsi"/>
                <w:b/>
                <w:sz w:val="20"/>
                <w:szCs w:val="20"/>
              </w:rPr>
              <w:t>1.276.365,06</w:t>
            </w:r>
          </w:p>
        </w:tc>
        <w:tc>
          <w:tcPr>
            <w:tcW w:w="1286" w:type="dxa"/>
            <w:shd w:val="clear" w:color="000000" w:fill="FFFFFF"/>
            <w:vAlign w:val="center"/>
          </w:tcPr>
          <w:p w14:paraId="0FE8B549" w14:textId="77777777" w:rsidR="00D834EE" w:rsidRPr="005767EF" w:rsidRDefault="00D834EE" w:rsidP="00D834EE">
            <w:pPr>
              <w:jc w:val="right"/>
              <w:rPr>
                <w:rFonts w:asciiTheme="minorHAnsi" w:hAnsiTheme="minorHAnsi"/>
                <w:b/>
                <w:bCs/>
                <w:sz w:val="20"/>
                <w:szCs w:val="20"/>
              </w:rPr>
            </w:pPr>
            <w:r w:rsidRPr="005767EF">
              <w:rPr>
                <w:rFonts w:asciiTheme="minorHAnsi" w:hAnsiTheme="minorHAnsi"/>
                <w:b/>
                <w:bCs/>
                <w:sz w:val="20"/>
                <w:szCs w:val="20"/>
              </w:rPr>
              <w:t>57,68</w:t>
            </w:r>
          </w:p>
        </w:tc>
      </w:tr>
      <w:tr w:rsidR="00D834EE" w:rsidRPr="005767EF" w14:paraId="3A661D38" w14:textId="77777777" w:rsidTr="009346DA">
        <w:trPr>
          <w:trHeight w:val="300"/>
          <w:jc w:val="center"/>
        </w:trPr>
        <w:tc>
          <w:tcPr>
            <w:tcW w:w="4093" w:type="dxa"/>
            <w:shd w:val="clear" w:color="000000" w:fill="FFFFFF"/>
            <w:noWrap/>
            <w:vAlign w:val="center"/>
            <w:hideMark/>
          </w:tcPr>
          <w:p w14:paraId="4D21277D" w14:textId="77777777" w:rsidR="00D834EE" w:rsidRPr="005767EF" w:rsidRDefault="00D834EE" w:rsidP="001538EF">
            <w:pPr>
              <w:jc w:val="left"/>
              <w:rPr>
                <w:rFonts w:asciiTheme="minorHAnsi" w:hAnsiTheme="minorHAnsi"/>
                <w:sz w:val="20"/>
                <w:szCs w:val="20"/>
                <w:lang w:val="en-US" w:eastAsia="en-US"/>
              </w:rPr>
            </w:pPr>
            <w:r w:rsidRPr="005767EF">
              <w:rPr>
                <w:rFonts w:asciiTheme="minorHAnsi" w:hAnsiTheme="minorHAnsi"/>
                <w:sz w:val="20"/>
                <w:szCs w:val="20"/>
                <w:lang w:eastAsia="en-US"/>
              </w:rPr>
              <w:t>Prihodi iz redovne djelatnosti</w:t>
            </w:r>
          </w:p>
        </w:tc>
        <w:tc>
          <w:tcPr>
            <w:tcW w:w="1560" w:type="dxa"/>
            <w:shd w:val="clear" w:color="000000" w:fill="FFFFFF"/>
            <w:vAlign w:val="center"/>
          </w:tcPr>
          <w:p w14:paraId="0BF4B490"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eastAsia="en-US"/>
              </w:rPr>
              <w:t>1.763.000,00</w:t>
            </w:r>
          </w:p>
        </w:tc>
        <w:tc>
          <w:tcPr>
            <w:tcW w:w="1559" w:type="dxa"/>
            <w:shd w:val="clear" w:color="000000" w:fill="FFFFFF"/>
            <w:vAlign w:val="center"/>
          </w:tcPr>
          <w:p w14:paraId="45BFBD19"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eastAsia="en-US"/>
              </w:rPr>
              <w:t>1.172.513,52</w:t>
            </w:r>
          </w:p>
        </w:tc>
        <w:tc>
          <w:tcPr>
            <w:tcW w:w="1286" w:type="dxa"/>
            <w:shd w:val="clear" w:color="000000" w:fill="FFFFFF"/>
            <w:vAlign w:val="center"/>
          </w:tcPr>
          <w:p w14:paraId="67C6382E" w14:textId="77777777" w:rsidR="00D834EE" w:rsidRPr="005767EF" w:rsidRDefault="00D834EE" w:rsidP="00D834EE">
            <w:pPr>
              <w:jc w:val="right"/>
              <w:rPr>
                <w:rFonts w:asciiTheme="minorHAnsi" w:hAnsiTheme="minorHAnsi"/>
                <w:bCs/>
                <w:sz w:val="20"/>
                <w:szCs w:val="20"/>
              </w:rPr>
            </w:pPr>
            <w:r w:rsidRPr="005767EF">
              <w:rPr>
                <w:rFonts w:asciiTheme="minorHAnsi" w:hAnsiTheme="minorHAnsi"/>
                <w:bCs/>
                <w:sz w:val="20"/>
                <w:szCs w:val="20"/>
                <w:lang w:eastAsia="en-US"/>
              </w:rPr>
              <w:t>66,51</w:t>
            </w:r>
          </w:p>
        </w:tc>
      </w:tr>
      <w:tr w:rsidR="00D834EE" w:rsidRPr="005767EF" w14:paraId="0F6157DE" w14:textId="77777777" w:rsidTr="009346DA">
        <w:trPr>
          <w:trHeight w:val="300"/>
          <w:jc w:val="center"/>
        </w:trPr>
        <w:tc>
          <w:tcPr>
            <w:tcW w:w="4093" w:type="dxa"/>
            <w:shd w:val="clear" w:color="000000" w:fill="FFFFFF"/>
            <w:noWrap/>
            <w:vAlign w:val="center"/>
            <w:hideMark/>
          </w:tcPr>
          <w:p w14:paraId="7A7BC562" w14:textId="77777777" w:rsidR="00D834EE" w:rsidRPr="005767EF" w:rsidRDefault="00D834EE" w:rsidP="001538EF">
            <w:pPr>
              <w:jc w:val="left"/>
              <w:rPr>
                <w:rFonts w:asciiTheme="minorHAnsi" w:hAnsiTheme="minorHAnsi"/>
                <w:sz w:val="20"/>
                <w:szCs w:val="20"/>
                <w:lang w:val="sr-Cyrl-BA" w:eastAsia="en-US"/>
              </w:rPr>
            </w:pPr>
            <w:r w:rsidRPr="005767EF">
              <w:rPr>
                <w:rFonts w:asciiTheme="minorHAnsi" w:hAnsiTheme="minorHAnsi"/>
                <w:sz w:val="20"/>
                <w:szCs w:val="20"/>
                <w:lang w:eastAsia="en-US"/>
              </w:rPr>
              <w:t>Prihodi od ukidanja rezervisanja</w:t>
            </w:r>
          </w:p>
        </w:tc>
        <w:tc>
          <w:tcPr>
            <w:tcW w:w="1560" w:type="dxa"/>
            <w:shd w:val="clear" w:color="000000" w:fill="FFFFFF"/>
            <w:vAlign w:val="center"/>
          </w:tcPr>
          <w:p w14:paraId="79502AD9"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eastAsia="en-US"/>
              </w:rPr>
              <w:t>450.000,00</w:t>
            </w:r>
          </w:p>
        </w:tc>
        <w:tc>
          <w:tcPr>
            <w:tcW w:w="1559" w:type="dxa"/>
            <w:shd w:val="clear" w:color="000000" w:fill="FFFFFF"/>
            <w:noWrap/>
            <w:vAlign w:val="center"/>
          </w:tcPr>
          <w:p w14:paraId="1388B68E"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eastAsia="en-US"/>
              </w:rPr>
              <w:t>103.851,54</w:t>
            </w:r>
          </w:p>
        </w:tc>
        <w:tc>
          <w:tcPr>
            <w:tcW w:w="1286" w:type="dxa"/>
            <w:shd w:val="clear" w:color="000000" w:fill="FFFFFF"/>
            <w:vAlign w:val="center"/>
          </w:tcPr>
          <w:p w14:paraId="7ED01277" w14:textId="77777777" w:rsidR="00D834EE" w:rsidRPr="005767EF" w:rsidRDefault="00D834EE" w:rsidP="00D834EE">
            <w:pPr>
              <w:jc w:val="right"/>
              <w:rPr>
                <w:rFonts w:asciiTheme="minorHAnsi" w:hAnsiTheme="minorHAnsi"/>
                <w:bCs/>
                <w:sz w:val="20"/>
                <w:szCs w:val="20"/>
              </w:rPr>
            </w:pPr>
            <w:r w:rsidRPr="005767EF">
              <w:rPr>
                <w:rFonts w:asciiTheme="minorHAnsi" w:hAnsiTheme="minorHAnsi"/>
                <w:bCs/>
                <w:sz w:val="20"/>
                <w:szCs w:val="20"/>
                <w:lang w:eastAsia="en-US"/>
              </w:rPr>
              <w:t>23,08</w:t>
            </w:r>
          </w:p>
        </w:tc>
      </w:tr>
      <w:tr w:rsidR="00D834EE" w:rsidRPr="005767EF" w14:paraId="25F21BF5" w14:textId="77777777" w:rsidTr="009346DA">
        <w:trPr>
          <w:trHeight w:val="300"/>
          <w:jc w:val="center"/>
        </w:trPr>
        <w:tc>
          <w:tcPr>
            <w:tcW w:w="4093" w:type="dxa"/>
            <w:shd w:val="clear" w:color="000000" w:fill="FFFFFF"/>
            <w:noWrap/>
            <w:vAlign w:val="center"/>
            <w:hideMark/>
          </w:tcPr>
          <w:p w14:paraId="2474A436" w14:textId="61BB1DBE" w:rsidR="00D834EE" w:rsidRPr="005767EF" w:rsidRDefault="00CC2EB2" w:rsidP="001538EF">
            <w:pPr>
              <w:jc w:val="left"/>
              <w:rPr>
                <w:rFonts w:asciiTheme="minorHAnsi" w:hAnsiTheme="minorHAnsi"/>
                <w:b/>
                <w:bCs/>
                <w:iCs/>
                <w:sz w:val="20"/>
                <w:szCs w:val="20"/>
                <w:lang w:val="en-US" w:eastAsia="en-US"/>
              </w:rPr>
            </w:pPr>
            <w:r>
              <w:rPr>
                <w:rFonts w:asciiTheme="minorHAnsi" w:hAnsiTheme="minorHAnsi"/>
                <w:b/>
                <w:bCs/>
                <w:iCs/>
                <w:sz w:val="20"/>
                <w:szCs w:val="20"/>
                <w:lang w:val="en-US" w:eastAsia="en-US"/>
              </w:rPr>
              <w:t>Ukupni rashodi</w:t>
            </w:r>
          </w:p>
        </w:tc>
        <w:tc>
          <w:tcPr>
            <w:tcW w:w="1560" w:type="dxa"/>
            <w:shd w:val="clear" w:color="000000" w:fill="FFFFFF"/>
            <w:vAlign w:val="center"/>
          </w:tcPr>
          <w:p w14:paraId="29CC66D0" w14:textId="77777777" w:rsidR="00D834EE" w:rsidRPr="005767EF" w:rsidRDefault="00D834EE" w:rsidP="00D834EE">
            <w:pPr>
              <w:jc w:val="right"/>
              <w:rPr>
                <w:rFonts w:asciiTheme="minorHAnsi" w:hAnsiTheme="minorHAnsi"/>
                <w:b/>
                <w:sz w:val="20"/>
                <w:szCs w:val="20"/>
                <w:lang w:val="sr-Cyrl-BA" w:eastAsia="en-US"/>
              </w:rPr>
            </w:pPr>
            <w:r w:rsidRPr="005767EF">
              <w:rPr>
                <w:rFonts w:asciiTheme="minorHAnsi" w:hAnsiTheme="minorHAnsi"/>
                <w:b/>
                <w:sz w:val="20"/>
                <w:szCs w:val="20"/>
                <w:lang w:eastAsia="en-US"/>
              </w:rPr>
              <w:t>2.176.615,33</w:t>
            </w:r>
          </w:p>
        </w:tc>
        <w:tc>
          <w:tcPr>
            <w:tcW w:w="1559" w:type="dxa"/>
            <w:shd w:val="clear" w:color="000000" w:fill="FFFFFF"/>
            <w:noWrap/>
            <w:vAlign w:val="center"/>
          </w:tcPr>
          <w:p w14:paraId="21910012" w14:textId="77777777" w:rsidR="00D834EE" w:rsidRPr="005767EF" w:rsidRDefault="00D834EE" w:rsidP="00D834EE">
            <w:pPr>
              <w:jc w:val="right"/>
              <w:rPr>
                <w:rFonts w:asciiTheme="minorHAnsi" w:hAnsiTheme="minorHAnsi"/>
                <w:b/>
                <w:bCs/>
                <w:iCs/>
                <w:sz w:val="20"/>
                <w:szCs w:val="20"/>
                <w:lang w:val="sr-Cyrl-BA" w:eastAsia="en-US"/>
              </w:rPr>
            </w:pPr>
            <w:r w:rsidRPr="005767EF">
              <w:rPr>
                <w:rFonts w:asciiTheme="minorHAnsi" w:hAnsiTheme="minorHAnsi"/>
                <w:b/>
                <w:bCs/>
                <w:iCs/>
                <w:sz w:val="20"/>
                <w:szCs w:val="20"/>
                <w:lang w:eastAsia="en-US"/>
              </w:rPr>
              <w:t>3.062.064,17</w:t>
            </w:r>
          </w:p>
        </w:tc>
        <w:tc>
          <w:tcPr>
            <w:tcW w:w="1286" w:type="dxa"/>
            <w:shd w:val="clear" w:color="000000" w:fill="FFFFFF"/>
            <w:vAlign w:val="center"/>
          </w:tcPr>
          <w:p w14:paraId="52BC8974" w14:textId="77777777" w:rsidR="00D834EE" w:rsidRPr="005767EF" w:rsidRDefault="00D834EE" w:rsidP="00D834EE">
            <w:pPr>
              <w:jc w:val="right"/>
              <w:rPr>
                <w:rFonts w:asciiTheme="minorHAnsi" w:hAnsiTheme="minorHAnsi"/>
                <w:b/>
                <w:bCs/>
                <w:sz w:val="20"/>
                <w:szCs w:val="20"/>
              </w:rPr>
            </w:pPr>
            <w:r w:rsidRPr="005767EF">
              <w:rPr>
                <w:rFonts w:asciiTheme="minorHAnsi" w:hAnsiTheme="minorHAnsi"/>
                <w:b/>
                <w:bCs/>
                <w:sz w:val="20"/>
                <w:szCs w:val="20"/>
                <w:lang w:eastAsia="en-US"/>
              </w:rPr>
              <w:t>140,68</w:t>
            </w:r>
          </w:p>
        </w:tc>
      </w:tr>
      <w:tr w:rsidR="00D834EE" w:rsidRPr="005767EF" w14:paraId="6C875328" w14:textId="77777777" w:rsidTr="009346DA">
        <w:trPr>
          <w:trHeight w:val="300"/>
          <w:jc w:val="center"/>
        </w:trPr>
        <w:tc>
          <w:tcPr>
            <w:tcW w:w="4093" w:type="dxa"/>
            <w:shd w:val="clear" w:color="000000" w:fill="FFFFFF"/>
            <w:noWrap/>
            <w:vAlign w:val="center"/>
            <w:hideMark/>
          </w:tcPr>
          <w:p w14:paraId="5427404C" w14:textId="77777777" w:rsidR="00D834EE" w:rsidRPr="005767EF" w:rsidRDefault="00D834EE" w:rsidP="001538EF">
            <w:pPr>
              <w:jc w:val="left"/>
              <w:rPr>
                <w:rFonts w:asciiTheme="minorHAnsi" w:hAnsiTheme="minorHAnsi"/>
                <w:sz w:val="20"/>
                <w:szCs w:val="20"/>
                <w:lang w:val="en-US" w:eastAsia="en-US"/>
              </w:rPr>
            </w:pPr>
            <w:r w:rsidRPr="005767EF">
              <w:rPr>
                <w:rFonts w:asciiTheme="minorHAnsi" w:hAnsiTheme="minorHAnsi"/>
                <w:sz w:val="20"/>
                <w:szCs w:val="20"/>
                <w:lang w:eastAsia="en-US"/>
              </w:rPr>
              <w:t>Troškovi poslovanja</w:t>
            </w:r>
          </w:p>
        </w:tc>
        <w:tc>
          <w:tcPr>
            <w:tcW w:w="1560" w:type="dxa"/>
            <w:shd w:val="clear" w:color="000000" w:fill="FFFFFF"/>
            <w:vAlign w:val="center"/>
          </w:tcPr>
          <w:p w14:paraId="00DA8997"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eastAsia="en-US"/>
              </w:rPr>
              <w:t>1.956.615,33</w:t>
            </w:r>
          </w:p>
        </w:tc>
        <w:tc>
          <w:tcPr>
            <w:tcW w:w="1559" w:type="dxa"/>
            <w:shd w:val="clear" w:color="000000" w:fill="FFFFFF"/>
            <w:noWrap/>
            <w:vAlign w:val="center"/>
          </w:tcPr>
          <w:p w14:paraId="5ADD217F" w14:textId="77777777" w:rsidR="00D834EE" w:rsidRPr="005767EF" w:rsidRDefault="00B54DD1" w:rsidP="00D834EE">
            <w:pPr>
              <w:jc w:val="right"/>
              <w:rPr>
                <w:rFonts w:asciiTheme="minorHAnsi" w:hAnsiTheme="minorHAnsi"/>
                <w:sz w:val="20"/>
                <w:szCs w:val="20"/>
                <w:lang w:val="sr-Cyrl-BA" w:eastAsia="en-US"/>
              </w:rPr>
            </w:pPr>
            <w:r>
              <w:rPr>
                <w:rFonts w:asciiTheme="minorHAnsi" w:hAnsiTheme="minorHAnsi"/>
                <w:bCs/>
                <w:sz w:val="20"/>
                <w:szCs w:val="20"/>
                <w:lang w:eastAsia="sr-Latn-RS"/>
              </w:rPr>
              <w:t>1.936.463,62</w:t>
            </w:r>
          </w:p>
        </w:tc>
        <w:tc>
          <w:tcPr>
            <w:tcW w:w="1286" w:type="dxa"/>
            <w:shd w:val="clear" w:color="000000" w:fill="FFFFFF"/>
            <w:vAlign w:val="center"/>
          </w:tcPr>
          <w:p w14:paraId="705AF574" w14:textId="77777777" w:rsidR="00D834EE" w:rsidRPr="00ED1AED" w:rsidRDefault="00ED1AED" w:rsidP="00D834EE">
            <w:pPr>
              <w:jc w:val="right"/>
              <w:rPr>
                <w:rFonts w:asciiTheme="minorHAnsi" w:hAnsiTheme="minorHAnsi"/>
                <w:bCs/>
                <w:sz w:val="20"/>
                <w:szCs w:val="20"/>
                <w:lang w:val="sr-Cyrl-RS"/>
              </w:rPr>
            </w:pPr>
            <w:r>
              <w:rPr>
                <w:rFonts w:asciiTheme="minorHAnsi" w:hAnsiTheme="minorHAnsi"/>
                <w:bCs/>
                <w:sz w:val="20"/>
                <w:szCs w:val="20"/>
              </w:rPr>
              <w:t>98,97</w:t>
            </w:r>
          </w:p>
        </w:tc>
      </w:tr>
      <w:tr w:rsidR="00D834EE" w:rsidRPr="005767EF" w14:paraId="151C4142" w14:textId="77777777" w:rsidTr="009346DA">
        <w:trPr>
          <w:trHeight w:val="300"/>
          <w:jc w:val="center"/>
        </w:trPr>
        <w:tc>
          <w:tcPr>
            <w:tcW w:w="4093" w:type="dxa"/>
            <w:shd w:val="clear" w:color="auto" w:fill="FFFFFF"/>
            <w:noWrap/>
            <w:vAlign w:val="center"/>
            <w:hideMark/>
          </w:tcPr>
          <w:p w14:paraId="1E8E14A7" w14:textId="698EC5BD" w:rsidR="00D834EE" w:rsidRPr="00B54DD1" w:rsidRDefault="00CC2EB2" w:rsidP="001538EF">
            <w:pPr>
              <w:jc w:val="left"/>
              <w:rPr>
                <w:rFonts w:asciiTheme="minorHAnsi" w:hAnsiTheme="minorHAnsi"/>
                <w:sz w:val="20"/>
                <w:szCs w:val="20"/>
                <w:lang w:val="sr-Cyrl-RS" w:eastAsia="en-US"/>
              </w:rPr>
            </w:pPr>
            <w:r>
              <w:rPr>
                <w:rFonts w:asciiTheme="minorHAnsi" w:hAnsiTheme="minorHAnsi"/>
                <w:sz w:val="20"/>
                <w:szCs w:val="20"/>
                <w:lang w:val="sr-Cyrl-RS" w:eastAsia="en-US"/>
              </w:rPr>
              <w:t>Rashodi</w:t>
            </w:r>
          </w:p>
        </w:tc>
        <w:tc>
          <w:tcPr>
            <w:tcW w:w="1560" w:type="dxa"/>
            <w:shd w:val="clear" w:color="auto" w:fill="FFFFFF"/>
            <w:vAlign w:val="center"/>
          </w:tcPr>
          <w:p w14:paraId="4BBB0C88" w14:textId="77777777" w:rsidR="00D834EE" w:rsidRPr="005767EF" w:rsidRDefault="00D834EE" w:rsidP="00D834EE">
            <w:pPr>
              <w:jc w:val="right"/>
              <w:rPr>
                <w:rFonts w:asciiTheme="minorHAnsi" w:hAnsiTheme="minorHAnsi"/>
                <w:sz w:val="20"/>
                <w:szCs w:val="20"/>
                <w:lang w:val="sr-Cyrl-BA" w:eastAsia="en-US"/>
              </w:rPr>
            </w:pPr>
            <w:r w:rsidRPr="005767EF">
              <w:rPr>
                <w:rFonts w:asciiTheme="minorHAnsi" w:hAnsiTheme="minorHAnsi"/>
                <w:sz w:val="20"/>
                <w:szCs w:val="20"/>
                <w:lang w:eastAsia="en-US"/>
              </w:rPr>
              <w:t>220.000,00</w:t>
            </w:r>
          </w:p>
        </w:tc>
        <w:tc>
          <w:tcPr>
            <w:tcW w:w="1559" w:type="dxa"/>
            <w:shd w:val="clear" w:color="auto" w:fill="FFFFFF"/>
            <w:noWrap/>
            <w:vAlign w:val="center"/>
          </w:tcPr>
          <w:p w14:paraId="61DC8A48" w14:textId="77777777" w:rsidR="00D834EE" w:rsidRPr="005767EF" w:rsidRDefault="00D834EE" w:rsidP="00B54DD1">
            <w:pPr>
              <w:jc w:val="right"/>
              <w:rPr>
                <w:rFonts w:asciiTheme="minorHAnsi" w:hAnsiTheme="minorHAnsi"/>
                <w:sz w:val="20"/>
                <w:szCs w:val="20"/>
                <w:lang w:val="sr-Cyrl-BA" w:eastAsia="en-US"/>
              </w:rPr>
            </w:pPr>
            <w:r w:rsidRPr="005767EF">
              <w:rPr>
                <w:rFonts w:asciiTheme="minorHAnsi" w:hAnsiTheme="minorHAnsi"/>
                <w:sz w:val="20"/>
                <w:szCs w:val="20"/>
                <w:lang w:eastAsia="en-US"/>
              </w:rPr>
              <w:t>1.125.600,55</w:t>
            </w:r>
          </w:p>
        </w:tc>
        <w:tc>
          <w:tcPr>
            <w:tcW w:w="1286" w:type="dxa"/>
            <w:shd w:val="clear" w:color="auto" w:fill="FFFFFF"/>
            <w:vAlign w:val="center"/>
          </w:tcPr>
          <w:p w14:paraId="64B1D3EE" w14:textId="77777777" w:rsidR="00D834EE" w:rsidRPr="00ED1AED" w:rsidRDefault="00ED1AED" w:rsidP="00D834EE">
            <w:pPr>
              <w:jc w:val="right"/>
              <w:rPr>
                <w:rFonts w:asciiTheme="minorHAnsi" w:hAnsiTheme="minorHAnsi"/>
                <w:bCs/>
                <w:sz w:val="20"/>
                <w:szCs w:val="20"/>
                <w:lang w:val="sr-Cyrl-RS"/>
              </w:rPr>
            </w:pPr>
            <w:r>
              <w:rPr>
                <w:rFonts w:asciiTheme="minorHAnsi" w:hAnsiTheme="minorHAnsi"/>
                <w:bCs/>
                <w:sz w:val="20"/>
                <w:szCs w:val="20"/>
              </w:rPr>
              <w:t>511,64</w:t>
            </w:r>
          </w:p>
        </w:tc>
      </w:tr>
      <w:tr w:rsidR="001538EF" w:rsidRPr="005767EF" w14:paraId="4D29FEA8" w14:textId="77777777" w:rsidTr="00D53F87">
        <w:trPr>
          <w:trHeight w:val="300"/>
          <w:jc w:val="center"/>
        </w:trPr>
        <w:tc>
          <w:tcPr>
            <w:tcW w:w="4093" w:type="dxa"/>
            <w:shd w:val="clear" w:color="auto" w:fill="8DB3E2" w:themeFill="text2" w:themeFillTint="66"/>
            <w:noWrap/>
            <w:vAlign w:val="center"/>
          </w:tcPr>
          <w:p w14:paraId="780034C0" w14:textId="7F14433A" w:rsidR="001538EF" w:rsidRPr="00CC2EB2" w:rsidRDefault="00CC2EB2" w:rsidP="001538EF">
            <w:pPr>
              <w:jc w:val="left"/>
              <w:rPr>
                <w:rFonts w:asciiTheme="minorHAnsi" w:hAnsiTheme="minorHAnsi"/>
                <w:b/>
                <w:bCs/>
                <w:iCs/>
                <w:sz w:val="20"/>
                <w:szCs w:val="20"/>
                <w:lang w:val="sr-Latn-BA" w:eastAsia="en-US"/>
              </w:rPr>
            </w:pPr>
            <w:r>
              <w:rPr>
                <w:rFonts w:asciiTheme="minorHAnsi" w:hAnsiTheme="minorHAnsi"/>
                <w:b/>
                <w:bCs/>
                <w:iCs/>
                <w:sz w:val="20"/>
                <w:szCs w:val="20"/>
                <w:lang w:val="sr-Cyrl-BA" w:eastAsia="en-US"/>
              </w:rPr>
              <w:t>Dobit</w:t>
            </w:r>
            <w:r>
              <w:rPr>
                <w:rFonts w:asciiTheme="minorHAnsi" w:hAnsiTheme="minorHAnsi"/>
                <w:b/>
                <w:bCs/>
                <w:iCs/>
                <w:sz w:val="20"/>
                <w:szCs w:val="20"/>
                <w:lang w:val="sr-Latn-BA" w:eastAsia="en-US"/>
              </w:rPr>
              <w:t>/Gubitak</w:t>
            </w:r>
          </w:p>
        </w:tc>
        <w:tc>
          <w:tcPr>
            <w:tcW w:w="1560" w:type="dxa"/>
            <w:shd w:val="clear" w:color="auto" w:fill="8DB3E2" w:themeFill="text2" w:themeFillTint="66"/>
            <w:vAlign w:val="center"/>
          </w:tcPr>
          <w:p w14:paraId="3AF4974C" w14:textId="77777777" w:rsidR="001538EF" w:rsidRPr="005767EF" w:rsidRDefault="00D834EE" w:rsidP="00D834EE">
            <w:pPr>
              <w:jc w:val="right"/>
              <w:rPr>
                <w:rFonts w:asciiTheme="minorHAnsi" w:hAnsiTheme="minorHAnsi"/>
                <w:b/>
                <w:bCs/>
                <w:iCs/>
                <w:sz w:val="20"/>
                <w:szCs w:val="20"/>
                <w:lang w:val="sr-Cyrl-BA" w:eastAsia="en-US"/>
              </w:rPr>
            </w:pPr>
            <w:r w:rsidRPr="005767EF">
              <w:rPr>
                <w:rFonts w:asciiTheme="minorHAnsi" w:hAnsiTheme="minorHAnsi"/>
                <w:b/>
                <w:bCs/>
                <w:iCs/>
                <w:sz w:val="20"/>
                <w:szCs w:val="20"/>
                <w:lang w:eastAsia="en-US"/>
              </w:rPr>
              <w:t>36.384,67</w:t>
            </w:r>
          </w:p>
        </w:tc>
        <w:tc>
          <w:tcPr>
            <w:tcW w:w="1559" w:type="dxa"/>
            <w:shd w:val="clear" w:color="auto" w:fill="8DB3E2" w:themeFill="text2" w:themeFillTint="66"/>
            <w:vAlign w:val="center"/>
          </w:tcPr>
          <w:p w14:paraId="545D07AA" w14:textId="77777777" w:rsidR="001538EF" w:rsidRPr="005767EF" w:rsidRDefault="00D834EE" w:rsidP="00D834EE">
            <w:pPr>
              <w:jc w:val="right"/>
              <w:rPr>
                <w:rFonts w:asciiTheme="minorHAnsi" w:hAnsiTheme="minorHAnsi"/>
                <w:b/>
                <w:bCs/>
                <w:iCs/>
                <w:sz w:val="20"/>
                <w:szCs w:val="20"/>
                <w:lang w:val="sr-Cyrl-BA" w:eastAsia="en-US"/>
              </w:rPr>
            </w:pPr>
            <w:r w:rsidRPr="005767EF">
              <w:rPr>
                <w:rFonts w:asciiTheme="minorHAnsi" w:hAnsiTheme="minorHAnsi"/>
                <w:b/>
                <w:bCs/>
                <w:iCs/>
                <w:sz w:val="20"/>
                <w:szCs w:val="20"/>
                <w:lang w:eastAsia="en-US"/>
              </w:rPr>
              <w:t>-1.785.699,11</w:t>
            </w:r>
          </w:p>
        </w:tc>
        <w:tc>
          <w:tcPr>
            <w:tcW w:w="1286" w:type="dxa"/>
            <w:shd w:val="clear" w:color="auto" w:fill="8DB3E2" w:themeFill="text2" w:themeFillTint="66"/>
            <w:vAlign w:val="center"/>
          </w:tcPr>
          <w:p w14:paraId="0FFBE26C" w14:textId="77777777" w:rsidR="001538EF" w:rsidRPr="005767EF" w:rsidRDefault="001538EF" w:rsidP="00D834EE">
            <w:pPr>
              <w:jc w:val="right"/>
              <w:rPr>
                <w:rFonts w:asciiTheme="minorHAnsi" w:hAnsiTheme="minorHAnsi"/>
                <w:b/>
                <w:bCs/>
                <w:iCs/>
                <w:sz w:val="20"/>
                <w:szCs w:val="20"/>
                <w:lang w:eastAsia="en-US"/>
              </w:rPr>
            </w:pPr>
          </w:p>
        </w:tc>
      </w:tr>
    </w:tbl>
    <w:p w14:paraId="5F1B606D" w14:textId="77777777" w:rsidR="001538EF" w:rsidRPr="005767EF" w:rsidRDefault="001538EF" w:rsidP="001538EF">
      <w:pPr>
        <w:jc w:val="left"/>
        <w:rPr>
          <w:rFonts w:asciiTheme="minorHAnsi" w:eastAsia="Calibri" w:hAnsiTheme="minorHAnsi"/>
          <w:color w:val="auto"/>
          <w:sz w:val="20"/>
          <w:szCs w:val="20"/>
          <w:lang w:val="en-GB" w:eastAsia="en-US"/>
        </w:rPr>
      </w:pPr>
    </w:p>
    <w:p w14:paraId="384F16EE" w14:textId="77777777" w:rsidR="00F10264" w:rsidRDefault="001538EF" w:rsidP="001538EF">
      <w:pPr>
        <w:rPr>
          <w:rFonts w:asciiTheme="minorHAnsi" w:eastAsia="Calibri" w:hAnsiTheme="minorHAnsi"/>
          <w:color w:val="auto"/>
          <w:sz w:val="20"/>
          <w:szCs w:val="20"/>
          <w:lang w:val="sr-Cyrl-BA" w:eastAsia="en-US"/>
        </w:rPr>
      </w:pPr>
      <w:r w:rsidRPr="005767EF">
        <w:rPr>
          <w:rFonts w:asciiTheme="minorHAnsi" w:eastAsia="Calibri" w:hAnsiTheme="minorHAnsi"/>
          <w:color w:val="auto"/>
          <w:sz w:val="20"/>
          <w:szCs w:val="20"/>
          <w:lang w:eastAsia="en-US"/>
        </w:rPr>
        <w:t xml:space="preserve">U 2023. godini, Garantni fond je ostvario gubitak u iznosu od 1.785.699,11 KM. Ostvareni gubitak je u direktnoj vezi sa neostvarenjem plana prihoda od izdanih garancija, odnosno neostvarenjem plana garancija po svim osnovama za datu godinu. Smanjenje garantne aktivnosti u segmentu pojedinačnih garancija je uzrokovano sve većom orijentacijom finansijskih posrednika na izdavanje garancija u okviru kreditnog portfolija. Iako su garancije na kreditni portfolio relativno nov proizvod, prikazani podaci pokazuju da garantna aktivnost u ovom segmentu raste iz godine u godinu. S obzirom da se tek očekuje uspostavljanje saradnje i sa drugim finansijskim posrednicima, realno je očekivati da će ovaj segment izdavanja garancija postati dominantan i donositi sve veće prihode.   </w:t>
      </w:r>
    </w:p>
    <w:p w14:paraId="4D2F806D" w14:textId="77777777" w:rsidR="00F10264" w:rsidRDefault="00F10264" w:rsidP="001538EF">
      <w:pPr>
        <w:rPr>
          <w:rFonts w:asciiTheme="minorHAnsi" w:eastAsia="Calibri" w:hAnsiTheme="minorHAnsi"/>
          <w:color w:val="auto"/>
          <w:sz w:val="20"/>
          <w:szCs w:val="20"/>
          <w:lang w:val="sr-Cyrl-BA" w:eastAsia="en-US"/>
        </w:rPr>
      </w:pPr>
    </w:p>
    <w:p w14:paraId="325EB8E1" w14:textId="77777777" w:rsidR="00E46707" w:rsidRDefault="00ED1AED" w:rsidP="001538EF">
      <w:pPr>
        <w:rPr>
          <w:rFonts w:asciiTheme="minorHAnsi" w:eastAsia="Calibri" w:hAnsiTheme="minorHAnsi"/>
          <w:color w:val="auto"/>
          <w:sz w:val="20"/>
          <w:szCs w:val="20"/>
          <w:lang w:val="sr-Cyrl-BA" w:eastAsia="en-US"/>
        </w:rPr>
      </w:pPr>
      <w:r>
        <w:rPr>
          <w:rFonts w:asciiTheme="minorHAnsi" w:eastAsia="Calibri" w:hAnsiTheme="minorHAnsi"/>
          <w:color w:val="auto"/>
          <w:sz w:val="20"/>
          <w:szCs w:val="20"/>
          <w:lang w:eastAsia="en-US"/>
        </w:rPr>
        <w:t>Iako je Fond zadržao troškove poslovanja na nivou od ranijih godina, pri čemu je ostvarenje u 2023. godini čak i manje u odnosu na plan, višestruko povećanje rashoda koji se nisu mogli predvidjeti je dovelo do značajnog rasta ukupnih rashoda, čime su premašeni ukupni prihodi i ostvaren negativan finansijski rezultat. Značajno povećanje rashoda je uzrokovano pogoršanjem finansijskog položaja klijenata Fonda, te povećanjem rizika neizmirenja obaveza, što je posljedično dovelo do rasta rashoda rezervisanja po izdatim garancijama. Pored navedenog, ukupni rashodi su uvećani i za iznos kamate koja je nastala u vezi sa sudskim postupkom koji je okončan krajem 2023. godine. Navedeni rashod nije unaprijed planiran zbog nepredvidivosti ishoda sudskog procesa.</w:t>
      </w:r>
    </w:p>
    <w:p w14:paraId="76E75D10" w14:textId="77777777" w:rsidR="009346DA" w:rsidRPr="00330E93" w:rsidRDefault="009346DA" w:rsidP="001538EF">
      <w:pPr>
        <w:rPr>
          <w:rFonts w:asciiTheme="minorHAnsi" w:eastAsia="Calibri" w:hAnsiTheme="minorHAnsi"/>
          <w:color w:val="FF0000"/>
          <w:sz w:val="20"/>
          <w:szCs w:val="20"/>
          <w:lang w:val="sr-Cyrl-BA" w:eastAsia="en-US"/>
        </w:rPr>
      </w:pPr>
    </w:p>
    <w:p w14:paraId="24EA1A09" w14:textId="77777777" w:rsidR="001538EF" w:rsidRDefault="001538EF" w:rsidP="001538EF">
      <w:pPr>
        <w:ind w:right="-142"/>
        <w:rPr>
          <w:rFonts w:asciiTheme="minorHAnsi" w:eastAsia="Calibri" w:hAnsiTheme="minorHAnsi"/>
          <w:color w:val="auto"/>
          <w:sz w:val="20"/>
          <w:szCs w:val="20"/>
          <w:lang w:val="sr-Cyrl-BA" w:eastAsia="en-US"/>
        </w:rPr>
      </w:pPr>
      <w:r w:rsidRPr="009B6FAB">
        <w:rPr>
          <w:rFonts w:asciiTheme="minorHAnsi" w:eastAsiaTheme="minorHAnsi" w:hAnsiTheme="minorHAnsi"/>
          <w:color w:val="auto"/>
          <w:sz w:val="20"/>
          <w:szCs w:val="20"/>
          <w:lang w:eastAsia="en-US"/>
        </w:rPr>
        <w:t>Reviziju finansijskih izvještaja za poslovnu 2023. godinu je obavila revizorska kuća „Revizor“ d.o.o. Doboj i dostavila sledeće mišljenje:</w:t>
      </w:r>
      <w:r w:rsidRPr="009B6FAB">
        <w:rPr>
          <w:rFonts w:asciiTheme="minorHAnsi" w:eastAsia="Calibri" w:hAnsiTheme="minorHAnsi"/>
          <w:color w:val="auto"/>
          <w:sz w:val="20"/>
          <w:szCs w:val="20"/>
          <w:lang w:eastAsia="en-US"/>
        </w:rPr>
        <w:tab/>
      </w:r>
    </w:p>
    <w:p w14:paraId="43F5A269" w14:textId="77777777" w:rsidR="00E46707" w:rsidRPr="009B6FAB" w:rsidRDefault="00E46707" w:rsidP="001538EF">
      <w:pPr>
        <w:ind w:right="-142"/>
        <w:rPr>
          <w:rFonts w:asciiTheme="minorHAnsi" w:eastAsia="Calibri" w:hAnsiTheme="minorHAnsi"/>
          <w:color w:val="auto"/>
          <w:sz w:val="20"/>
          <w:szCs w:val="20"/>
          <w:lang w:val="sr-Cyrl-BA" w:eastAsia="en-US"/>
        </w:rPr>
      </w:pPr>
    </w:p>
    <w:p w14:paraId="41647980" w14:textId="77777777" w:rsidR="00E46707" w:rsidRDefault="001538EF" w:rsidP="001538EF">
      <w:pPr>
        <w:rPr>
          <w:rFonts w:asciiTheme="minorHAnsi" w:hAnsiTheme="minorHAnsi"/>
          <w:color w:val="auto"/>
          <w:sz w:val="20"/>
          <w:szCs w:val="20"/>
          <w:lang w:val="sr-Cyrl-BA"/>
        </w:rPr>
      </w:pPr>
      <w:r w:rsidRPr="009B6FAB">
        <w:rPr>
          <w:rFonts w:asciiTheme="minorHAnsi" w:hAnsiTheme="minorHAnsi"/>
          <w:color w:val="auto"/>
          <w:sz w:val="20"/>
          <w:szCs w:val="20"/>
        </w:rPr>
        <w:t xml:space="preserve"> „Po našem mišljenju, priloženi finansijski izvještaji prikazuju </w:t>
      </w:r>
      <w:r w:rsidRPr="009B6FAB">
        <w:rPr>
          <w:rFonts w:asciiTheme="minorHAnsi" w:hAnsiTheme="minorHAnsi"/>
          <w:b/>
          <w:color w:val="auto"/>
          <w:sz w:val="20"/>
          <w:szCs w:val="20"/>
        </w:rPr>
        <w:t xml:space="preserve">  istinito i objektivno  </w:t>
      </w:r>
      <w:r w:rsidRPr="009B6FAB">
        <w:rPr>
          <w:rFonts w:asciiTheme="minorHAnsi" w:hAnsiTheme="minorHAnsi"/>
          <w:color w:val="auto"/>
          <w:sz w:val="20"/>
          <w:szCs w:val="20"/>
        </w:rPr>
        <w:t xml:space="preserve">, po svim materijalno značajnim pitanjima, finansijsko stanje Fonda, na dan 31. decembra 2023.  godine , rezultate njegovog poslovanja i novčane tokove za godinu koja se završava na taj dan, u skladu s računovodstvenim propisima Republike Srpske“. </w:t>
      </w:r>
    </w:p>
    <w:p w14:paraId="4695F7CB" w14:textId="77777777" w:rsidR="00F6210D" w:rsidRPr="00DF3C30" w:rsidRDefault="00F6210D" w:rsidP="001538EF">
      <w:pPr>
        <w:rPr>
          <w:rFonts w:asciiTheme="minorHAnsi" w:hAnsiTheme="minorHAnsi"/>
          <w:color w:val="auto"/>
          <w:sz w:val="20"/>
          <w:szCs w:val="20"/>
          <w:lang w:val="sr-Cyrl-BA"/>
        </w:rPr>
      </w:pPr>
    </w:p>
    <w:p w14:paraId="02500DDA" w14:textId="77777777" w:rsidR="00F6210D" w:rsidRDefault="001538EF" w:rsidP="009B6FAB">
      <w:pPr>
        <w:rPr>
          <w:rFonts w:asciiTheme="minorHAnsi" w:hAnsiTheme="minorHAnsi"/>
          <w:color w:val="auto"/>
          <w:sz w:val="20"/>
          <w:szCs w:val="20"/>
        </w:rPr>
      </w:pPr>
      <w:r w:rsidRPr="0075475E">
        <w:rPr>
          <w:rFonts w:asciiTheme="minorHAnsi" w:hAnsiTheme="minorHAnsi"/>
          <w:color w:val="auto"/>
          <w:sz w:val="20"/>
          <w:szCs w:val="20"/>
        </w:rPr>
        <w:t xml:space="preserve">U postupku revizije posebna pažnja je usmjerena na „Ostale plasmane u domaćoj valuti“ zbog značaja iznosa iskazanog u bilansu stanja. Nisu identifikovane nepravilnosti u vezi sa vrednovanjem „Ostalih plasmana u domaćoj valuti“ i podataka objelodanjenih uz Finansijske izvještaje za 2023. godinu. U bilansu stanja na dan 31.12.2023. godine iskazana je vrijednost ovih plasmana u bruto iznosu od 10.938.393,28 KM, ispravka vrijednosti 5.207.564,89 KM i neto vrijednost 5.730.828,00 KM.  Navedeni iznosi se odnose na potraživanja Fonda od Bobar banke a.d.-u likvidaciji i Banke Srpske a.d.-u stečaju. Za potrebe izrade finansijskih izvještaja za 2023. godinu angažovan je ovlašćeni procjenjivač (konsultant) koji je izvršio procjenu potraživanja od pomenutih banaka u stečaju. </w:t>
      </w:r>
    </w:p>
    <w:p w14:paraId="7AC5F39C" w14:textId="77777777" w:rsidR="00904D57" w:rsidRDefault="00904D57" w:rsidP="009B6FAB">
      <w:pPr>
        <w:rPr>
          <w:rFonts w:asciiTheme="minorHAnsi" w:hAnsiTheme="minorHAnsi"/>
          <w:color w:val="auto"/>
          <w:sz w:val="20"/>
          <w:szCs w:val="20"/>
        </w:rPr>
      </w:pPr>
    </w:p>
    <w:p w14:paraId="317E5078" w14:textId="77777777" w:rsidR="00904D57" w:rsidRDefault="00904D57" w:rsidP="009B6FAB">
      <w:pPr>
        <w:rPr>
          <w:rFonts w:asciiTheme="minorHAnsi" w:hAnsiTheme="minorHAnsi"/>
          <w:color w:val="auto"/>
          <w:sz w:val="20"/>
          <w:szCs w:val="20"/>
        </w:rPr>
      </w:pPr>
    </w:p>
    <w:p w14:paraId="55205106" w14:textId="77777777" w:rsidR="00904D57" w:rsidRDefault="00904D57" w:rsidP="009B6FAB">
      <w:pPr>
        <w:rPr>
          <w:rFonts w:asciiTheme="minorHAnsi" w:hAnsiTheme="minorHAnsi"/>
          <w:color w:val="auto"/>
          <w:sz w:val="20"/>
          <w:szCs w:val="20"/>
        </w:rPr>
      </w:pPr>
    </w:p>
    <w:p w14:paraId="1A994BEA" w14:textId="77777777" w:rsidR="00904D57" w:rsidRDefault="00904D57" w:rsidP="009B6FAB">
      <w:pPr>
        <w:rPr>
          <w:rFonts w:asciiTheme="minorHAnsi" w:hAnsiTheme="minorHAnsi"/>
          <w:color w:val="auto"/>
          <w:sz w:val="20"/>
          <w:szCs w:val="20"/>
          <w:lang w:val="sr-Cyrl-RS"/>
        </w:rPr>
      </w:pPr>
    </w:p>
    <w:p w14:paraId="54301546" w14:textId="77777777" w:rsidR="00F6210D" w:rsidRDefault="00F6210D" w:rsidP="009B6FAB">
      <w:pPr>
        <w:rPr>
          <w:rFonts w:asciiTheme="minorHAnsi" w:hAnsiTheme="minorHAnsi"/>
          <w:color w:val="auto"/>
          <w:sz w:val="20"/>
          <w:szCs w:val="20"/>
          <w:lang w:val="sr-Cyrl-RS"/>
        </w:rPr>
      </w:pPr>
    </w:p>
    <w:p w14:paraId="53ACF74C" w14:textId="77777777" w:rsidR="001538EF" w:rsidRPr="005D3925" w:rsidRDefault="001538EF" w:rsidP="009B6FAB">
      <w:pPr>
        <w:rPr>
          <w:rFonts w:asciiTheme="minorHAnsi" w:hAnsiTheme="minorHAnsi"/>
          <w:color w:val="auto"/>
          <w:sz w:val="20"/>
          <w:szCs w:val="20"/>
          <w:lang w:val="sr-Cyrl-RS"/>
        </w:rPr>
      </w:pPr>
      <w:r w:rsidRPr="0075475E">
        <w:rPr>
          <w:rFonts w:asciiTheme="minorHAnsi" w:hAnsiTheme="minorHAnsi"/>
          <w:color w:val="auto"/>
          <w:sz w:val="20"/>
          <w:szCs w:val="20"/>
        </w:rPr>
        <w:lastRenderedPageBreak/>
        <w:t>Prema procjeni konsultanta, vrijednosti potraživanja koja su bila predmet procjene na dan 31.12.2023. godine iznose:</w:t>
      </w:r>
    </w:p>
    <w:p w14:paraId="2D97F96D" w14:textId="77777777" w:rsidR="001538EF" w:rsidRPr="005D3925" w:rsidRDefault="001538EF" w:rsidP="001538EF">
      <w:pPr>
        <w:pStyle w:val="ListParagraph"/>
        <w:numPr>
          <w:ilvl w:val="0"/>
          <w:numId w:val="19"/>
        </w:numPr>
        <w:tabs>
          <w:tab w:val="left" w:pos="1068"/>
        </w:tabs>
        <w:ind w:left="1428" w:right="-142" w:hanging="719"/>
        <w:rPr>
          <w:rFonts w:asciiTheme="minorHAnsi" w:hAnsiTheme="minorHAnsi"/>
          <w:color w:val="auto"/>
          <w:sz w:val="20"/>
          <w:szCs w:val="20"/>
          <w:lang w:val="sr-Latn-CS"/>
        </w:rPr>
      </w:pPr>
      <w:r w:rsidRPr="005D3925">
        <w:rPr>
          <w:rFonts w:asciiTheme="minorHAnsi" w:hAnsiTheme="minorHAnsi"/>
          <w:color w:val="auto"/>
          <w:sz w:val="20"/>
          <w:szCs w:val="20"/>
        </w:rPr>
        <w:t>Bobar banka a.d.-u likvidaciji</w:t>
      </w:r>
    </w:p>
    <w:p w14:paraId="3A4883C5" w14:textId="114F4F55" w:rsidR="001538EF" w:rsidRPr="005D3925" w:rsidRDefault="00904D57"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Pr>
          <w:rFonts w:asciiTheme="minorHAnsi" w:hAnsiTheme="minorHAnsi"/>
          <w:color w:val="auto"/>
          <w:sz w:val="20"/>
          <w:szCs w:val="20"/>
        </w:rPr>
        <w:t xml:space="preserve">Bruto iznos </w:t>
      </w:r>
      <w:r w:rsidR="001538EF" w:rsidRPr="005D3925">
        <w:rPr>
          <w:rFonts w:asciiTheme="minorHAnsi" w:hAnsiTheme="minorHAnsi"/>
          <w:color w:val="auto"/>
          <w:sz w:val="20"/>
          <w:szCs w:val="20"/>
        </w:rPr>
        <w:tab/>
        <w:t>7.438.393,28 KM</w:t>
      </w:r>
    </w:p>
    <w:p w14:paraId="0AF3E6C0" w14:textId="77777777" w:rsidR="001538EF" w:rsidRPr="005D3925"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rPr>
        <w:t>ispravka vrijednosti</w:t>
      </w:r>
      <w:r w:rsidRPr="005D3925">
        <w:rPr>
          <w:rFonts w:asciiTheme="minorHAnsi" w:hAnsiTheme="minorHAnsi"/>
          <w:color w:val="auto"/>
          <w:sz w:val="20"/>
          <w:szCs w:val="20"/>
        </w:rPr>
        <w:tab/>
      </w:r>
      <w:r w:rsidR="00EA7186" w:rsidRPr="005D3925">
        <w:rPr>
          <w:rFonts w:asciiTheme="minorHAnsi" w:hAnsiTheme="minorHAnsi"/>
          <w:color w:val="auto"/>
          <w:sz w:val="20"/>
          <w:szCs w:val="20"/>
        </w:rPr>
        <w:t>3.748.796.87 KM</w:t>
      </w:r>
    </w:p>
    <w:p w14:paraId="49E8007B" w14:textId="77777777" w:rsidR="001538EF" w:rsidRPr="00F6210D"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rPr>
        <w:t>Neto vrednost</w:t>
      </w:r>
      <w:r w:rsidRPr="005D3925">
        <w:rPr>
          <w:rFonts w:asciiTheme="minorHAnsi" w:hAnsiTheme="minorHAnsi"/>
          <w:color w:val="auto"/>
          <w:sz w:val="20"/>
          <w:szCs w:val="20"/>
        </w:rPr>
        <w:tab/>
      </w:r>
      <w:r w:rsidR="00EA7186" w:rsidRPr="005D3925">
        <w:rPr>
          <w:rFonts w:asciiTheme="minorHAnsi" w:hAnsiTheme="minorHAnsi"/>
          <w:color w:val="auto"/>
          <w:sz w:val="20"/>
          <w:szCs w:val="20"/>
        </w:rPr>
        <w:t>3.689.596,41 KM</w:t>
      </w:r>
    </w:p>
    <w:p w14:paraId="64675961" w14:textId="77777777" w:rsidR="00F6210D" w:rsidRPr="005D3925" w:rsidRDefault="00F6210D" w:rsidP="00F6210D">
      <w:pPr>
        <w:pStyle w:val="ListParagraph"/>
        <w:tabs>
          <w:tab w:val="right" w:leader="dot" w:pos="6804"/>
        </w:tabs>
        <w:ind w:left="1418" w:right="-142"/>
        <w:rPr>
          <w:rFonts w:asciiTheme="minorHAnsi" w:hAnsiTheme="minorHAnsi"/>
          <w:color w:val="auto"/>
          <w:sz w:val="20"/>
          <w:szCs w:val="20"/>
          <w:lang w:val="sr-Latn-CS"/>
        </w:rPr>
      </w:pPr>
    </w:p>
    <w:p w14:paraId="6BDCD140" w14:textId="77777777" w:rsidR="005D3925" w:rsidRPr="005D3925" w:rsidRDefault="005D3925" w:rsidP="005D3925">
      <w:pPr>
        <w:tabs>
          <w:tab w:val="right" w:leader="dot" w:pos="6804"/>
        </w:tabs>
        <w:ind w:right="-142"/>
        <w:rPr>
          <w:rFonts w:asciiTheme="minorHAnsi" w:hAnsiTheme="minorHAnsi"/>
          <w:color w:val="auto"/>
          <w:sz w:val="20"/>
          <w:szCs w:val="20"/>
          <w:lang w:val="sr-Cyrl-RS"/>
        </w:rPr>
      </w:pPr>
      <w:r w:rsidRPr="005D3925">
        <w:rPr>
          <w:rFonts w:asciiTheme="minorHAnsi" w:hAnsiTheme="minorHAnsi"/>
          <w:color w:val="auto"/>
          <w:sz w:val="20"/>
          <w:szCs w:val="20"/>
        </w:rPr>
        <w:t xml:space="preserve">U odnosu na 2022. godinu, procijenjena vrijednost potraživanja od Bobar banke a.d.-u likvidaciji je manja za 944.400,99 KM i na dan 31.12.2023. godine iznosi 3.689.596,41 KM. </w:t>
      </w:r>
    </w:p>
    <w:p w14:paraId="11547D7D" w14:textId="77777777" w:rsidR="001538EF" w:rsidRPr="005D3925" w:rsidRDefault="001538EF" w:rsidP="001538EF">
      <w:pPr>
        <w:pStyle w:val="ListParagraph"/>
        <w:numPr>
          <w:ilvl w:val="0"/>
          <w:numId w:val="19"/>
        </w:numPr>
        <w:tabs>
          <w:tab w:val="left" w:pos="1134"/>
        </w:tabs>
        <w:ind w:left="1428" w:right="-142" w:hanging="719"/>
        <w:rPr>
          <w:rFonts w:asciiTheme="minorHAnsi" w:hAnsiTheme="minorHAnsi"/>
          <w:color w:val="auto"/>
          <w:sz w:val="20"/>
          <w:szCs w:val="20"/>
          <w:lang w:val="sr-Latn-CS"/>
        </w:rPr>
      </w:pPr>
      <w:r w:rsidRPr="005D3925">
        <w:rPr>
          <w:rFonts w:asciiTheme="minorHAnsi" w:hAnsiTheme="minorHAnsi"/>
          <w:color w:val="auto"/>
          <w:sz w:val="20"/>
          <w:szCs w:val="20"/>
        </w:rPr>
        <w:t>Banka Srpske a.d.-u stečaju</w:t>
      </w:r>
    </w:p>
    <w:p w14:paraId="715ED3FD" w14:textId="603B0286" w:rsidR="001538EF" w:rsidRPr="005D3925" w:rsidRDefault="00904D57"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Pr>
          <w:rFonts w:asciiTheme="minorHAnsi" w:hAnsiTheme="minorHAnsi"/>
          <w:color w:val="auto"/>
          <w:sz w:val="20"/>
          <w:szCs w:val="20"/>
        </w:rPr>
        <w:t xml:space="preserve">Bruto iznos </w:t>
      </w:r>
      <w:r w:rsidR="001538EF" w:rsidRPr="005D3925">
        <w:rPr>
          <w:rFonts w:asciiTheme="minorHAnsi" w:hAnsiTheme="minorHAnsi"/>
          <w:color w:val="auto"/>
          <w:sz w:val="20"/>
          <w:szCs w:val="20"/>
        </w:rPr>
        <w:tab/>
        <w:t>3.571.740.000 KM</w:t>
      </w:r>
    </w:p>
    <w:p w14:paraId="5DF777DC" w14:textId="77777777" w:rsidR="001538EF" w:rsidRPr="005D3925"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rPr>
        <w:t>ispravka vrijednosti</w:t>
      </w:r>
      <w:r w:rsidRPr="005D3925">
        <w:rPr>
          <w:rFonts w:asciiTheme="minorHAnsi" w:hAnsiTheme="minorHAnsi"/>
          <w:color w:val="auto"/>
          <w:sz w:val="20"/>
          <w:szCs w:val="20"/>
        </w:rPr>
        <w:tab/>
      </w:r>
      <w:r w:rsidR="00EA7186" w:rsidRPr="005D3925">
        <w:rPr>
          <w:rFonts w:asciiTheme="minorHAnsi" w:hAnsiTheme="minorHAnsi"/>
          <w:color w:val="auto"/>
          <w:sz w:val="20"/>
          <w:szCs w:val="20"/>
        </w:rPr>
        <w:t>1.488.668,31 KM</w:t>
      </w:r>
    </w:p>
    <w:p w14:paraId="79BE22F0" w14:textId="77777777" w:rsidR="001538EF" w:rsidRPr="00F6210D" w:rsidRDefault="001538EF" w:rsidP="001538EF">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rPr>
        <w:t>Neto vrednost</w:t>
      </w:r>
      <w:r w:rsidRPr="005D3925">
        <w:rPr>
          <w:rFonts w:asciiTheme="minorHAnsi" w:hAnsiTheme="minorHAnsi"/>
          <w:color w:val="auto"/>
          <w:sz w:val="20"/>
          <w:szCs w:val="20"/>
        </w:rPr>
        <w:tab/>
      </w:r>
      <w:r w:rsidR="0075475E" w:rsidRPr="005D3925">
        <w:rPr>
          <w:rFonts w:asciiTheme="minorHAnsi" w:hAnsiTheme="minorHAnsi"/>
          <w:color w:val="auto"/>
          <w:sz w:val="20"/>
          <w:szCs w:val="20"/>
        </w:rPr>
        <w:t xml:space="preserve">2.083.071.69 KM </w:t>
      </w:r>
    </w:p>
    <w:p w14:paraId="0E4F403C" w14:textId="77777777" w:rsidR="00F6210D" w:rsidRPr="005D3925" w:rsidRDefault="00F6210D" w:rsidP="00F6210D">
      <w:pPr>
        <w:pStyle w:val="ListParagraph"/>
        <w:tabs>
          <w:tab w:val="right" w:leader="dot" w:pos="6804"/>
        </w:tabs>
        <w:ind w:left="1418" w:right="-142"/>
        <w:rPr>
          <w:rFonts w:asciiTheme="minorHAnsi" w:hAnsiTheme="minorHAnsi"/>
          <w:color w:val="auto"/>
          <w:sz w:val="20"/>
          <w:szCs w:val="20"/>
          <w:lang w:val="sr-Latn-CS"/>
        </w:rPr>
      </w:pPr>
    </w:p>
    <w:p w14:paraId="115FF8C5" w14:textId="77777777" w:rsidR="005D3925" w:rsidRDefault="005D3925" w:rsidP="001538EF">
      <w:pPr>
        <w:rPr>
          <w:rFonts w:asciiTheme="minorHAnsi" w:hAnsiTheme="minorHAnsi"/>
          <w:color w:val="auto"/>
          <w:sz w:val="20"/>
          <w:szCs w:val="20"/>
          <w:lang w:val="sr-Cyrl-RS"/>
        </w:rPr>
      </w:pPr>
      <w:r w:rsidRPr="005D3925">
        <w:rPr>
          <w:rFonts w:asciiTheme="minorHAnsi" w:hAnsiTheme="minorHAnsi"/>
          <w:color w:val="auto"/>
          <w:sz w:val="20"/>
          <w:szCs w:val="20"/>
        </w:rPr>
        <w:t>U odnosu na 2022. godinu, procijenjena vrijednost potraživanja od Banke Srpske a.d.-u stečaju je manja za 653.370,86 KM i na dan 31.12.2023. godine iznosi 2.083.071,69 KM. Ukupna procijenjena vrijednost potraživanja po oba osnova je manja za 1.597.771,85 KM u odnosu na 2022. godinu, te su za navedeni iznos korigovana bruto potraživanja Fonda od dvije navedene banke.</w:t>
      </w:r>
    </w:p>
    <w:p w14:paraId="29D74F2C" w14:textId="77777777" w:rsidR="00F6210D" w:rsidRDefault="00F6210D" w:rsidP="001538EF">
      <w:pPr>
        <w:rPr>
          <w:rFonts w:asciiTheme="minorHAnsi" w:hAnsiTheme="minorHAnsi"/>
          <w:color w:val="auto"/>
          <w:sz w:val="20"/>
          <w:szCs w:val="20"/>
          <w:lang w:val="sr-Cyrl-RS"/>
        </w:rPr>
      </w:pPr>
    </w:p>
    <w:p w14:paraId="440507E7" w14:textId="77777777" w:rsidR="001538EF" w:rsidRDefault="001538EF" w:rsidP="001538EF">
      <w:pPr>
        <w:rPr>
          <w:rFonts w:asciiTheme="minorHAnsi" w:hAnsiTheme="minorHAnsi"/>
          <w:color w:val="auto"/>
          <w:sz w:val="20"/>
          <w:szCs w:val="20"/>
          <w:lang w:val="sr-Cyrl-RS"/>
        </w:rPr>
      </w:pPr>
      <w:r w:rsidRPr="00EA7186">
        <w:rPr>
          <w:rFonts w:asciiTheme="minorHAnsi" w:hAnsiTheme="minorHAnsi"/>
          <w:color w:val="auto"/>
          <w:sz w:val="20"/>
          <w:szCs w:val="20"/>
        </w:rPr>
        <w:t>U knjigovodstvenoj evidenciji su sprovedena odgovarajuća knjiženja u cilju usklađivanja knjigovodstvene s procjenjenom vrijednosti potraživanja od navedenih banaka koje su u stečajnom, odnosno likvidacionom postupku na dan bilansiranja.</w:t>
      </w:r>
    </w:p>
    <w:p w14:paraId="100CF63F" w14:textId="77777777" w:rsidR="00F6210D" w:rsidRPr="00F6210D" w:rsidRDefault="00F6210D" w:rsidP="001538EF">
      <w:pPr>
        <w:rPr>
          <w:rFonts w:asciiTheme="minorHAnsi" w:hAnsiTheme="minorHAnsi"/>
          <w:color w:val="auto"/>
          <w:sz w:val="20"/>
          <w:szCs w:val="20"/>
          <w:lang w:val="sr-Cyrl-RS"/>
        </w:rPr>
      </w:pPr>
    </w:p>
    <w:p w14:paraId="5C4F93BF" w14:textId="77777777" w:rsidR="00E84021" w:rsidRDefault="001538EF" w:rsidP="001538EF">
      <w:pPr>
        <w:rPr>
          <w:rFonts w:asciiTheme="minorHAnsi" w:hAnsiTheme="minorHAnsi"/>
          <w:color w:val="auto"/>
          <w:sz w:val="20"/>
          <w:szCs w:val="20"/>
          <w:lang w:val="sr-Cyrl-BA"/>
        </w:rPr>
      </w:pPr>
      <w:r w:rsidRPr="00BD6792">
        <w:rPr>
          <w:rFonts w:asciiTheme="minorHAnsi" w:hAnsiTheme="minorHAnsi"/>
          <w:color w:val="auto"/>
          <w:sz w:val="20"/>
          <w:szCs w:val="20"/>
        </w:rPr>
        <w:t>Konstatovano je da Fond primjenjuje usvojenu metodologiju za procjenu očekivanih gubitaka rađenu prema MSFI-9 Finansijski instrumenti. Prema revizorskom izvještaju, nisu identifikovane nepravilnosti u vezi sa vrednovanjem „Ostalih plasmana u domaćoj valuti“ i podataka objelodanjenih uz Finansijske izvještaje za 2023.godinu.</w:t>
      </w:r>
    </w:p>
    <w:p w14:paraId="77B4B377" w14:textId="77777777" w:rsidR="001538EF" w:rsidRPr="00904D57" w:rsidRDefault="001538EF" w:rsidP="009F70C0">
      <w:pPr>
        <w:rPr>
          <w:rFonts w:asciiTheme="minorHAnsi" w:hAnsiTheme="minorHAnsi"/>
          <w:sz w:val="20"/>
          <w:szCs w:val="20"/>
          <w:lang w:val="sr-Latn-BA"/>
        </w:rPr>
      </w:pPr>
    </w:p>
    <w:p w14:paraId="6A55CAF9" w14:textId="77777777" w:rsidR="001538EF" w:rsidRPr="005767EF" w:rsidRDefault="00E84021" w:rsidP="00E84021">
      <w:pPr>
        <w:pStyle w:val="Heading2"/>
        <w:numPr>
          <w:ilvl w:val="0"/>
          <w:numId w:val="0"/>
        </w:numPr>
        <w:rPr>
          <w:rFonts w:asciiTheme="minorHAnsi" w:hAnsiTheme="minorHAnsi"/>
          <w:szCs w:val="20"/>
          <w:lang w:val="sr-Cyrl-BA"/>
        </w:rPr>
      </w:pPr>
      <w:r>
        <w:rPr>
          <w:rFonts w:asciiTheme="minorHAnsi" w:hAnsiTheme="minorHAnsi"/>
          <w:szCs w:val="20"/>
        </w:rPr>
        <w:t xml:space="preserve">3.4 ANALIZA BILANSA STANJA NA DAN 31.12.2023. GODINE                </w:t>
      </w:r>
      <w:bookmarkStart w:id="17" w:name="_Toc135292178"/>
      <w:bookmarkEnd w:id="17"/>
    </w:p>
    <w:p w14:paraId="78589E47" w14:textId="77777777" w:rsidR="001538EF" w:rsidRPr="005767EF" w:rsidRDefault="001538EF" w:rsidP="001538EF">
      <w:pPr>
        <w:ind w:left="708" w:right="-142"/>
        <w:rPr>
          <w:rFonts w:asciiTheme="minorHAnsi" w:hAnsiTheme="minorHAnsi"/>
          <w:b/>
          <w:sz w:val="20"/>
          <w:szCs w:val="20"/>
          <w:lang w:val="sr-Cyrl-CS" w:eastAsia="sr-Cyrl-CS"/>
        </w:rPr>
      </w:pPr>
    </w:p>
    <w:p w14:paraId="7ABCF23D" w14:textId="77777777" w:rsidR="001538EF" w:rsidRPr="005767EF" w:rsidRDefault="001538EF" w:rsidP="007434A3">
      <w:pPr>
        <w:ind w:left="708" w:right="-142"/>
        <w:rPr>
          <w:rFonts w:asciiTheme="minorHAnsi" w:hAnsiTheme="minorHAnsi"/>
          <w:b/>
          <w:sz w:val="20"/>
          <w:szCs w:val="20"/>
          <w:lang w:val="sr-Cyrl-CS" w:eastAsia="sr-Cyrl-CS"/>
        </w:rPr>
      </w:pPr>
      <w:r w:rsidRPr="005767EF">
        <w:rPr>
          <w:rFonts w:asciiTheme="minorHAnsi" w:hAnsiTheme="minorHAnsi"/>
          <w:b/>
          <w:sz w:val="20"/>
          <w:szCs w:val="20"/>
          <w:lang w:eastAsia="sr-Cyrl-CS"/>
        </w:rPr>
        <w:t>Pregled bilansnih pozicija aktive i pasive na dan 31.12.2023. godine</w:t>
      </w:r>
    </w:p>
    <w:p w14:paraId="3DA61675" w14:textId="77777777" w:rsidR="001538EF" w:rsidRPr="005767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eastAsia="sr-Cyrl-CS"/>
        </w:rPr>
        <w:tab/>
      </w:r>
      <w:r w:rsidRPr="005767EF">
        <w:rPr>
          <w:rFonts w:asciiTheme="minorHAnsi" w:hAnsiTheme="minorHAnsi"/>
          <w:b/>
          <w:sz w:val="20"/>
          <w:szCs w:val="20"/>
          <w:lang w:eastAsia="sr-Cyrl-CS"/>
        </w:rPr>
        <w:tab/>
      </w:r>
      <w:r w:rsidRPr="005767EF">
        <w:rPr>
          <w:rFonts w:asciiTheme="minorHAnsi" w:hAnsiTheme="minorHAnsi"/>
          <w:b/>
          <w:sz w:val="20"/>
          <w:szCs w:val="20"/>
          <w:lang w:eastAsia="sr-Cyrl-CS"/>
        </w:rPr>
        <w:tab/>
      </w:r>
      <w:r w:rsidRPr="005767EF">
        <w:rPr>
          <w:rFonts w:asciiTheme="minorHAnsi" w:hAnsiTheme="minorHAnsi"/>
          <w:b/>
          <w:sz w:val="20"/>
          <w:szCs w:val="20"/>
          <w:lang w:eastAsia="sr-Cyrl-CS"/>
        </w:rPr>
        <w:tab/>
      </w:r>
      <w:r w:rsidRPr="005767EF">
        <w:rPr>
          <w:rFonts w:asciiTheme="minorHAnsi" w:hAnsiTheme="minorHAnsi"/>
          <w:b/>
          <w:sz w:val="20"/>
          <w:szCs w:val="20"/>
          <w:lang w:eastAsia="sr-Cyrl-CS"/>
        </w:rPr>
        <w:tab/>
      </w:r>
      <w:r w:rsidRPr="005767EF">
        <w:rPr>
          <w:rFonts w:asciiTheme="minorHAnsi" w:hAnsiTheme="minorHAnsi"/>
          <w:b/>
          <w:sz w:val="20"/>
          <w:szCs w:val="20"/>
          <w:lang w:eastAsia="sr-Cyrl-CS"/>
        </w:rPr>
        <w:tab/>
      </w:r>
      <w:r w:rsidRPr="005767EF">
        <w:rPr>
          <w:rFonts w:asciiTheme="minorHAnsi" w:hAnsiTheme="minorHAnsi"/>
          <w:b/>
          <w:sz w:val="20"/>
          <w:szCs w:val="20"/>
          <w:lang w:eastAsia="sr-Cyrl-CS"/>
        </w:rPr>
        <w:tab/>
      </w:r>
      <w:r w:rsidRPr="005767EF">
        <w:rPr>
          <w:rFonts w:asciiTheme="minorHAnsi" w:hAnsiTheme="minorHAnsi"/>
          <w:b/>
          <w:sz w:val="20"/>
          <w:szCs w:val="20"/>
          <w:lang w:eastAsia="sr-Cyrl-CS"/>
        </w:rPr>
        <w:tab/>
        <w:t xml:space="preserve">                                           Tabela 26</w:t>
      </w:r>
    </w:p>
    <w:tbl>
      <w:tblPr>
        <w:tblW w:w="8800" w:type="dxa"/>
        <w:tblInd w:w="93" w:type="dxa"/>
        <w:tblLook w:val="04A0" w:firstRow="1" w:lastRow="0" w:firstColumn="1" w:lastColumn="0" w:noHBand="0" w:noVBand="1"/>
      </w:tblPr>
      <w:tblGrid>
        <w:gridCol w:w="3160"/>
        <w:gridCol w:w="2120"/>
        <w:gridCol w:w="2140"/>
        <w:gridCol w:w="1380"/>
      </w:tblGrid>
      <w:tr w:rsidR="007C74A2" w:rsidRPr="005D68A8" w14:paraId="549E9E5E" w14:textId="77777777" w:rsidTr="005D68A8">
        <w:trPr>
          <w:trHeight w:val="720"/>
        </w:trPr>
        <w:tc>
          <w:tcPr>
            <w:tcW w:w="3160" w:type="dxa"/>
            <w:tcBorders>
              <w:top w:val="single" w:sz="4" w:space="0" w:color="auto"/>
              <w:left w:val="single" w:sz="4" w:space="0" w:color="auto"/>
              <w:bottom w:val="single" w:sz="4" w:space="0" w:color="auto"/>
              <w:right w:val="single" w:sz="4" w:space="0" w:color="auto"/>
            </w:tcBorders>
            <w:shd w:val="clear" w:color="000000" w:fill="8DB3E2"/>
            <w:vAlign w:val="center"/>
            <w:hideMark/>
          </w:tcPr>
          <w:p w14:paraId="27B84991" w14:textId="332AA996" w:rsidR="007C74A2" w:rsidRPr="005D68A8" w:rsidRDefault="00126588" w:rsidP="005D68A8">
            <w:pPr>
              <w:jc w:val="center"/>
              <w:rPr>
                <w:rFonts w:ascii="Calibri" w:hAnsi="Calibri"/>
                <w:b/>
                <w:bCs/>
                <w:sz w:val="20"/>
                <w:szCs w:val="20"/>
              </w:rPr>
            </w:pPr>
            <w:r>
              <w:rPr>
                <w:rFonts w:ascii="Calibri" w:hAnsi="Calibri"/>
                <w:b/>
                <w:bCs/>
                <w:sz w:val="20"/>
                <w:szCs w:val="20"/>
              </w:rPr>
              <w:t>Bilansna pozicija</w:t>
            </w:r>
          </w:p>
        </w:tc>
        <w:tc>
          <w:tcPr>
            <w:tcW w:w="2120" w:type="dxa"/>
            <w:tcBorders>
              <w:top w:val="single" w:sz="4" w:space="0" w:color="auto"/>
              <w:left w:val="nil"/>
              <w:bottom w:val="single" w:sz="4" w:space="0" w:color="auto"/>
              <w:right w:val="single" w:sz="4" w:space="0" w:color="auto"/>
            </w:tcBorders>
            <w:shd w:val="clear" w:color="000000" w:fill="8DB3E2"/>
            <w:vAlign w:val="center"/>
            <w:hideMark/>
          </w:tcPr>
          <w:p w14:paraId="63EB08F4" w14:textId="184DA8F8" w:rsidR="007C74A2" w:rsidRPr="005D68A8" w:rsidRDefault="00126588" w:rsidP="005D68A8">
            <w:pPr>
              <w:jc w:val="center"/>
              <w:rPr>
                <w:rFonts w:ascii="Calibri" w:hAnsi="Calibri"/>
                <w:b/>
                <w:bCs/>
                <w:sz w:val="20"/>
                <w:szCs w:val="20"/>
              </w:rPr>
            </w:pPr>
            <w:r>
              <w:rPr>
                <w:rFonts w:ascii="Calibri" w:hAnsi="Calibri"/>
                <w:b/>
                <w:bCs/>
                <w:sz w:val="20"/>
                <w:szCs w:val="20"/>
              </w:rPr>
              <w:t>Stanje na dan 31.12.2022.</w:t>
            </w:r>
          </w:p>
        </w:tc>
        <w:tc>
          <w:tcPr>
            <w:tcW w:w="2140" w:type="dxa"/>
            <w:tcBorders>
              <w:top w:val="single" w:sz="4" w:space="0" w:color="auto"/>
              <w:left w:val="nil"/>
              <w:bottom w:val="single" w:sz="4" w:space="0" w:color="auto"/>
              <w:right w:val="single" w:sz="4" w:space="0" w:color="auto"/>
            </w:tcBorders>
            <w:shd w:val="clear" w:color="000000" w:fill="8DB3E2"/>
            <w:vAlign w:val="center"/>
            <w:hideMark/>
          </w:tcPr>
          <w:p w14:paraId="4AC36B35" w14:textId="2C27DC2B" w:rsidR="007C74A2" w:rsidRPr="005D68A8" w:rsidRDefault="00126588" w:rsidP="005D68A8">
            <w:pPr>
              <w:jc w:val="center"/>
              <w:rPr>
                <w:rFonts w:ascii="Calibri" w:hAnsi="Calibri"/>
                <w:b/>
                <w:bCs/>
                <w:sz w:val="20"/>
                <w:szCs w:val="20"/>
              </w:rPr>
            </w:pPr>
            <w:r>
              <w:rPr>
                <w:rFonts w:ascii="Calibri" w:hAnsi="Calibri"/>
                <w:b/>
                <w:bCs/>
                <w:sz w:val="20"/>
                <w:szCs w:val="20"/>
              </w:rPr>
              <w:t>Stanje na dan</w:t>
            </w:r>
            <w:r w:rsidR="007C74A2" w:rsidRPr="005D68A8">
              <w:rPr>
                <w:rFonts w:ascii="Calibri" w:hAnsi="Calibri"/>
                <w:b/>
                <w:bCs/>
                <w:sz w:val="20"/>
                <w:szCs w:val="20"/>
              </w:rPr>
              <w:t xml:space="preserve"> 31.12.2023.</w:t>
            </w:r>
          </w:p>
        </w:tc>
        <w:tc>
          <w:tcPr>
            <w:tcW w:w="1380" w:type="dxa"/>
            <w:tcBorders>
              <w:top w:val="single" w:sz="4" w:space="0" w:color="auto"/>
              <w:left w:val="nil"/>
              <w:bottom w:val="single" w:sz="4" w:space="0" w:color="auto"/>
              <w:right w:val="single" w:sz="4" w:space="0" w:color="auto"/>
            </w:tcBorders>
            <w:shd w:val="clear" w:color="000000" w:fill="8DB3E2"/>
            <w:noWrap/>
            <w:vAlign w:val="center"/>
            <w:hideMark/>
          </w:tcPr>
          <w:p w14:paraId="45F49FAE" w14:textId="77777777" w:rsidR="007C74A2" w:rsidRDefault="007C74A2">
            <w:pPr>
              <w:jc w:val="center"/>
              <w:rPr>
                <w:rFonts w:ascii="Calibri" w:hAnsi="Calibri"/>
                <w:b/>
                <w:bCs/>
                <w:sz w:val="20"/>
                <w:szCs w:val="20"/>
              </w:rPr>
            </w:pPr>
            <w:r>
              <w:rPr>
                <w:rFonts w:ascii="Calibri" w:hAnsi="Calibri"/>
                <w:b/>
                <w:bCs/>
                <w:sz w:val="20"/>
                <w:szCs w:val="20"/>
              </w:rPr>
              <w:t xml:space="preserve">Indeks </w:t>
            </w:r>
          </w:p>
        </w:tc>
      </w:tr>
      <w:tr w:rsidR="007C74A2" w:rsidRPr="005D68A8" w14:paraId="751ECF1E"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642E52EA"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Ukupno tekuća sredstva</w:t>
            </w:r>
          </w:p>
        </w:tc>
        <w:tc>
          <w:tcPr>
            <w:tcW w:w="2120" w:type="dxa"/>
            <w:tcBorders>
              <w:top w:val="nil"/>
              <w:left w:val="nil"/>
              <w:bottom w:val="single" w:sz="4" w:space="0" w:color="auto"/>
              <w:right w:val="single" w:sz="4" w:space="0" w:color="auto"/>
            </w:tcBorders>
            <w:shd w:val="clear" w:color="000000" w:fill="C5D9F1"/>
            <w:noWrap/>
            <w:vAlign w:val="center"/>
            <w:hideMark/>
          </w:tcPr>
          <w:p w14:paraId="602FC1E2"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19.865.550,00</w:t>
            </w:r>
          </w:p>
        </w:tc>
        <w:tc>
          <w:tcPr>
            <w:tcW w:w="2140" w:type="dxa"/>
            <w:tcBorders>
              <w:top w:val="nil"/>
              <w:left w:val="nil"/>
              <w:bottom w:val="single" w:sz="4" w:space="0" w:color="auto"/>
              <w:right w:val="single" w:sz="4" w:space="0" w:color="auto"/>
            </w:tcBorders>
            <w:shd w:val="clear" w:color="000000" w:fill="C5D9F1"/>
            <w:noWrap/>
            <w:vAlign w:val="center"/>
            <w:hideMark/>
          </w:tcPr>
          <w:p w14:paraId="232DE401"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20.553.861,09</w:t>
            </w:r>
          </w:p>
        </w:tc>
        <w:tc>
          <w:tcPr>
            <w:tcW w:w="1380" w:type="dxa"/>
            <w:tcBorders>
              <w:top w:val="nil"/>
              <w:left w:val="nil"/>
              <w:bottom w:val="single" w:sz="4" w:space="0" w:color="auto"/>
              <w:right w:val="single" w:sz="4" w:space="0" w:color="auto"/>
            </w:tcBorders>
            <w:shd w:val="clear" w:color="000000" w:fill="C5D9F1"/>
            <w:noWrap/>
            <w:vAlign w:val="center"/>
            <w:hideMark/>
          </w:tcPr>
          <w:p w14:paraId="3290B93B" w14:textId="77777777" w:rsidR="007C74A2" w:rsidRDefault="007C74A2">
            <w:pPr>
              <w:jc w:val="right"/>
              <w:rPr>
                <w:rFonts w:ascii="Calibri" w:hAnsi="Calibri"/>
                <w:b/>
                <w:bCs/>
                <w:sz w:val="20"/>
                <w:szCs w:val="20"/>
              </w:rPr>
            </w:pPr>
            <w:r>
              <w:rPr>
                <w:rFonts w:ascii="Calibri" w:hAnsi="Calibri"/>
                <w:b/>
                <w:bCs/>
                <w:sz w:val="20"/>
                <w:szCs w:val="20"/>
              </w:rPr>
              <w:t>103,46</w:t>
            </w:r>
          </w:p>
        </w:tc>
      </w:tr>
      <w:tr w:rsidR="007C74A2" w:rsidRPr="005D68A8" w14:paraId="658419EC"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9FCA510" w14:textId="2A722D01" w:rsidR="007C74A2" w:rsidRPr="005D68A8" w:rsidRDefault="005D0F9B" w:rsidP="005D68A8">
            <w:pPr>
              <w:jc w:val="left"/>
              <w:rPr>
                <w:rFonts w:ascii="Calibri" w:hAnsi="Calibri"/>
                <w:sz w:val="20"/>
                <w:szCs w:val="20"/>
              </w:rPr>
            </w:pPr>
            <w:r>
              <w:rPr>
                <w:rFonts w:ascii="Calibri" w:hAnsi="Calibri"/>
                <w:sz w:val="20"/>
                <w:szCs w:val="20"/>
              </w:rPr>
              <w:t xml:space="preserve">Gotovina i gotovinski ekvivalenti </w:t>
            </w:r>
          </w:p>
        </w:tc>
        <w:tc>
          <w:tcPr>
            <w:tcW w:w="2120" w:type="dxa"/>
            <w:tcBorders>
              <w:top w:val="nil"/>
              <w:left w:val="nil"/>
              <w:bottom w:val="single" w:sz="4" w:space="0" w:color="auto"/>
              <w:right w:val="single" w:sz="4" w:space="0" w:color="auto"/>
            </w:tcBorders>
            <w:shd w:val="clear" w:color="auto" w:fill="auto"/>
            <w:noWrap/>
            <w:vAlign w:val="center"/>
            <w:hideMark/>
          </w:tcPr>
          <w:p w14:paraId="2C5537B2"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1.385.216,00</w:t>
            </w:r>
          </w:p>
        </w:tc>
        <w:tc>
          <w:tcPr>
            <w:tcW w:w="2140" w:type="dxa"/>
            <w:tcBorders>
              <w:top w:val="nil"/>
              <w:left w:val="nil"/>
              <w:bottom w:val="single" w:sz="4" w:space="0" w:color="auto"/>
              <w:right w:val="single" w:sz="4" w:space="0" w:color="auto"/>
            </w:tcBorders>
            <w:shd w:val="clear" w:color="auto" w:fill="auto"/>
            <w:noWrap/>
            <w:vAlign w:val="center"/>
            <w:hideMark/>
          </w:tcPr>
          <w:p w14:paraId="5C467C2F" w14:textId="77777777" w:rsidR="007C74A2" w:rsidRPr="005D68A8" w:rsidRDefault="007C74A2" w:rsidP="005D68A8">
            <w:pPr>
              <w:jc w:val="right"/>
              <w:rPr>
                <w:rFonts w:ascii="Calibri" w:hAnsi="Calibri"/>
                <w:sz w:val="20"/>
                <w:szCs w:val="20"/>
              </w:rPr>
            </w:pPr>
            <w:r w:rsidRPr="005D68A8">
              <w:rPr>
                <w:rFonts w:ascii="Calibri" w:hAnsi="Calibri"/>
                <w:sz w:val="20"/>
                <w:szCs w:val="20"/>
              </w:rPr>
              <w:t>854.171,43</w:t>
            </w:r>
          </w:p>
        </w:tc>
        <w:tc>
          <w:tcPr>
            <w:tcW w:w="1380" w:type="dxa"/>
            <w:tcBorders>
              <w:top w:val="nil"/>
              <w:left w:val="nil"/>
              <w:bottom w:val="single" w:sz="4" w:space="0" w:color="auto"/>
              <w:right w:val="single" w:sz="4" w:space="0" w:color="auto"/>
            </w:tcBorders>
            <w:shd w:val="clear" w:color="auto" w:fill="auto"/>
            <w:noWrap/>
            <w:vAlign w:val="center"/>
            <w:hideMark/>
          </w:tcPr>
          <w:p w14:paraId="1716ECB8" w14:textId="77777777" w:rsidR="007C74A2" w:rsidRDefault="007C74A2">
            <w:pPr>
              <w:jc w:val="right"/>
              <w:rPr>
                <w:rFonts w:ascii="Calibri" w:hAnsi="Calibri"/>
                <w:sz w:val="20"/>
                <w:szCs w:val="20"/>
              </w:rPr>
            </w:pPr>
            <w:r>
              <w:rPr>
                <w:rFonts w:ascii="Calibri" w:hAnsi="Calibri"/>
                <w:sz w:val="20"/>
                <w:szCs w:val="20"/>
              </w:rPr>
              <w:t>61,66</w:t>
            </w:r>
          </w:p>
        </w:tc>
      </w:tr>
      <w:tr w:rsidR="007C74A2" w:rsidRPr="005D68A8" w14:paraId="45D6A673"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7E34CBA" w14:textId="5C446F1D" w:rsidR="007C74A2" w:rsidRPr="005D68A8" w:rsidRDefault="005D0F9B" w:rsidP="005D68A8">
            <w:pPr>
              <w:jc w:val="left"/>
              <w:rPr>
                <w:rFonts w:ascii="Calibri" w:hAnsi="Calibri"/>
                <w:sz w:val="20"/>
                <w:szCs w:val="20"/>
              </w:rPr>
            </w:pPr>
            <w:r>
              <w:rPr>
                <w:rFonts w:ascii="Calibri" w:hAnsi="Calibri"/>
                <w:sz w:val="20"/>
                <w:szCs w:val="20"/>
              </w:rPr>
              <w:t>Opozivi depoziti</w:t>
            </w:r>
          </w:p>
        </w:tc>
        <w:tc>
          <w:tcPr>
            <w:tcW w:w="2120" w:type="dxa"/>
            <w:tcBorders>
              <w:top w:val="nil"/>
              <w:left w:val="nil"/>
              <w:bottom w:val="single" w:sz="4" w:space="0" w:color="auto"/>
              <w:right w:val="single" w:sz="4" w:space="0" w:color="auto"/>
            </w:tcBorders>
            <w:shd w:val="clear" w:color="auto" w:fill="auto"/>
            <w:noWrap/>
            <w:vAlign w:val="center"/>
            <w:hideMark/>
          </w:tcPr>
          <w:p w14:paraId="060334D2"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600.000,00</w:t>
            </w:r>
          </w:p>
        </w:tc>
        <w:tc>
          <w:tcPr>
            <w:tcW w:w="2140" w:type="dxa"/>
            <w:tcBorders>
              <w:top w:val="nil"/>
              <w:left w:val="nil"/>
              <w:bottom w:val="single" w:sz="4" w:space="0" w:color="auto"/>
              <w:right w:val="single" w:sz="4" w:space="0" w:color="auto"/>
            </w:tcBorders>
            <w:shd w:val="clear" w:color="auto" w:fill="auto"/>
            <w:noWrap/>
            <w:vAlign w:val="center"/>
            <w:hideMark/>
          </w:tcPr>
          <w:p w14:paraId="440E0713" w14:textId="77777777" w:rsidR="007C74A2" w:rsidRPr="005D68A8" w:rsidRDefault="007C74A2" w:rsidP="005D68A8">
            <w:pPr>
              <w:jc w:val="right"/>
              <w:rPr>
                <w:rFonts w:ascii="Calibri" w:hAnsi="Calibri"/>
                <w:sz w:val="20"/>
                <w:szCs w:val="20"/>
              </w:rPr>
            </w:pPr>
            <w:r w:rsidRPr="005D68A8">
              <w:rPr>
                <w:rFonts w:ascii="Calibri" w:hAnsi="Calibri"/>
                <w:sz w:val="20"/>
                <w:szCs w:val="20"/>
              </w:rPr>
              <w:t>100.000,00</w:t>
            </w:r>
          </w:p>
        </w:tc>
        <w:tc>
          <w:tcPr>
            <w:tcW w:w="1380" w:type="dxa"/>
            <w:tcBorders>
              <w:top w:val="nil"/>
              <w:left w:val="nil"/>
              <w:bottom w:val="single" w:sz="4" w:space="0" w:color="auto"/>
              <w:right w:val="single" w:sz="4" w:space="0" w:color="auto"/>
            </w:tcBorders>
            <w:shd w:val="clear" w:color="auto" w:fill="auto"/>
            <w:noWrap/>
            <w:vAlign w:val="center"/>
            <w:hideMark/>
          </w:tcPr>
          <w:p w14:paraId="693232E0" w14:textId="77777777" w:rsidR="007C74A2" w:rsidRDefault="007C74A2">
            <w:pPr>
              <w:jc w:val="right"/>
              <w:rPr>
                <w:rFonts w:ascii="Calibri" w:hAnsi="Calibri"/>
                <w:sz w:val="20"/>
                <w:szCs w:val="20"/>
              </w:rPr>
            </w:pPr>
            <w:r>
              <w:rPr>
                <w:rFonts w:ascii="Calibri" w:hAnsi="Calibri"/>
                <w:sz w:val="20"/>
                <w:szCs w:val="20"/>
              </w:rPr>
              <w:t>16,67</w:t>
            </w:r>
          </w:p>
        </w:tc>
      </w:tr>
      <w:tr w:rsidR="007C74A2" w:rsidRPr="005D68A8" w14:paraId="08DA9968"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56BC52E8" w14:textId="77777777" w:rsidR="007C74A2" w:rsidRPr="005D68A8" w:rsidRDefault="007C74A2" w:rsidP="005D68A8">
            <w:pPr>
              <w:jc w:val="left"/>
              <w:rPr>
                <w:rFonts w:ascii="Calibri" w:hAnsi="Calibri"/>
                <w:sz w:val="20"/>
                <w:szCs w:val="20"/>
              </w:rPr>
            </w:pPr>
            <w:r w:rsidRPr="005D68A8">
              <w:rPr>
                <w:rFonts w:ascii="Calibri" w:hAnsi="Calibri"/>
                <w:sz w:val="20"/>
                <w:szCs w:val="20"/>
              </w:rPr>
              <w:t>Потраживањa</w:t>
            </w:r>
          </w:p>
        </w:tc>
        <w:tc>
          <w:tcPr>
            <w:tcW w:w="2120" w:type="dxa"/>
            <w:tcBorders>
              <w:top w:val="nil"/>
              <w:left w:val="nil"/>
              <w:bottom w:val="single" w:sz="4" w:space="0" w:color="auto"/>
              <w:right w:val="single" w:sz="4" w:space="0" w:color="auto"/>
            </w:tcBorders>
            <w:shd w:val="clear" w:color="auto" w:fill="auto"/>
            <w:noWrap/>
            <w:vAlign w:val="center"/>
            <w:hideMark/>
          </w:tcPr>
          <w:p w14:paraId="11C572EA"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301.102,00</w:t>
            </w:r>
          </w:p>
        </w:tc>
        <w:tc>
          <w:tcPr>
            <w:tcW w:w="2140" w:type="dxa"/>
            <w:tcBorders>
              <w:top w:val="nil"/>
              <w:left w:val="nil"/>
              <w:bottom w:val="single" w:sz="4" w:space="0" w:color="auto"/>
              <w:right w:val="single" w:sz="4" w:space="0" w:color="auto"/>
            </w:tcBorders>
            <w:shd w:val="clear" w:color="auto" w:fill="auto"/>
            <w:noWrap/>
            <w:vAlign w:val="center"/>
            <w:hideMark/>
          </w:tcPr>
          <w:p w14:paraId="5ED62C4F"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541.728,17</w:t>
            </w:r>
          </w:p>
        </w:tc>
        <w:tc>
          <w:tcPr>
            <w:tcW w:w="1380" w:type="dxa"/>
            <w:tcBorders>
              <w:top w:val="nil"/>
              <w:left w:val="nil"/>
              <w:bottom w:val="single" w:sz="4" w:space="0" w:color="auto"/>
              <w:right w:val="single" w:sz="4" w:space="0" w:color="auto"/>
            </w:tcBorders>
            <w:shd w:val="clear" w:color="auto" w:fill="auto"/>
            <w:noWrap/>
            <w:vAlign w:val="center"/>
            <w:hideMark/>
          </w:tcPr>
          <w:p w14:paraId="596EC078" w14:textId="77777777" w:rsidR="007C74A2" w:rsidRDefault="007C74A2">
            <w:pPr>
              <w:jc w:val="right"/>
              <w:rPr>
                <w:rFonts w:ascii="Calibri" w:hAnsi="Calibri"/>
                <w:sz w:val="20"/>
                <w:szCs w:val="20"/>
              </w:rPr>
            </w:pPr>
            <w:r>
              <w:rPr>
                <w:rFonts w:ascii="Calibri" w:hAnsi="Calibri"/>
                <w:sz w:val="20"/>
                <w:szCs w:val="20"/>
              </w:rPr>
              <w:t>179,92</w:t>
            </w:r>
          </w:p>
        </w:tc>
      </w:tr>
      <w:tr w:rsidR="007C74A2" w:rsidRPr="005D68A8" w14:paraId="5313AACF"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453BEE24" w14:textId="77777777" w:rsidR="007C74A2" w:rsidRPr="005D68A8" w:rsidRDefault="007C74A2" w:rsidP="005D68A8">
            <w:pPr>
              <w:jc w:val="left"/>
              <w:rPr>
                <w:rFonts w:ascii="Calibri" w:hAnsi="Calibri"/>
                <w:sz w:val="20"/>
                <w:szCs w:val="20"/>
              </w:rPr>
            </w:pPr>
            <w:r w:rsidRPr="005D68A8">
              <w:rPr>
                <w:rFonts w:ascii="Calibri" w:hAnsi="Calibri"/>
                <w:sz w:val="20"/>
                <w:szCs w:val="20"/>
              </w:rPr>
              <w:t>Hartije od vrijednosti</w:t>
            </w:r>
          </w:p>
        </w:tc>
        <w:tc>
          <w:tcPr>
            <w:tcW w:w="2120" w:type="dxa"/>
            <w:tcBorders>
              <w:top w:val="nil"/>
              <w:left w:val="nil"/>
              <w:bottom w:val="single" w:sz="4" w:space="0" w:color="auto"/>
              <w:right w:val="single" w:sz="4" w:space="0" w:color="auto"/>
            </w:tcBorders>
            <w:shd w:val="clear" w:color="auto" w:fill="auto"/>
            <w:noWrap/>
            <w:vAlign w:val="center"/>
            <w:hideMark/>
          </w:tcPr>
          <w:p w14:paraId="272BC03C"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11.481.679,00</w:t>
            </w:r>
          </w:p>
        </w:tc>
        <w:tc>
          <w:tcPr>
            <w:tcW w:w="2140" w:type="dxa"/>
            <w:tcBorders>
              <w:top w:val="nil"/>
              <w:left w:val="nil"/>
              <w:bottom w:val="single" w:sz="4" w:space="0" w:color="auto"/>
              <w:right w:val="single" w:sz="4" w:space="0" w:color="auto"/>
            </w:tcBorders>
            <w:shd w:val="clear" w:color="auto" w:fill="auto"/>
            <w:noWrap/>
            <w:vAlign w:val="center"/>
            <w:hideMark/>
          </w:tcPr>
          <w:p w14:paraId="547A7984" w14:textId="77777777" w:rsidR="007C74A2" w:rsidRPr="005D68A8" w:rsidRDefault="007C74A2" w:rsidP="005D68A8">
            <w:pPr>
              <w:jc w:val="right"/>
              <w:rPr>
                <w:rFonts w:ascii="Calibri" w:hAnsi="Calibri"/>
                <w:sz w:val="20"/>
                <w:szCs w:val="20"/>
              </w:rPr>
            </w:pPr>
            <w:r w:rsidRPr="005D68A8">
              <w:rPr>
                <w:rFonts w:ascii="Calibri" w:hAnsi="Calibri"/>
                <w:sz w:val="20"/>
                <w:szCs w:val="20"/>
              </w:rPr>
              <w:t>11.641.849,00</w:t>
            </w:r>
          </w:p>
        </w:tc>
        <w:tc>
          <w:tcPr>
            <w:tcW w:w="1380" w:type="dxa"/>
            <w:tcBorders>
              <w:top w:val="nil"/>
              <w:left w:val="nil"/>
              <w:bottom w:val="single" w:sz="4" w:space="0" w:color="auto"/>
              <w:right w:val="single" w:sz="4" w:space="0" w:color="auto"/>
            </w:tcBorders>
            <w:shd w:val="clear" w:color="auto" w:fill="auto"/>
            <w:noWrap/>
            <w:vAlign w:val="center"/>
            <w:hideMark/>
          </w:tcPr>
          <w:p w14:paraId="79948DDF" w14:textId="77777777" w:rsidR="007C74A2" w:rsidRDefault="007C74A2">
            <w:pPr>
              <w:jc w:val="right"/>
              <w:rPr>
                <w:rFonts w:ascii="Calibri" w:hAnsi="Calibri"/>
                <w:sz w:val="20"/>
                <w:szCs w:val="20"/>
              </w:rPr>
            </w:pPr>
            <w:r>
              <w:rPr>
                <w:rFonts w:ascii="Calibri" w:hAnsi="Calibri"/>
                <w:sz w:val="20"/>
                <w:szCs w:val="20"/>
              </w:rPr>
              <w:t>101,40</w:t>
            </w:r>
          </w:p>
        </w:tc>
      </w:tr>
      <w:tr w:rsidR="007C74A2" w:rsidRPr="005D68A8" w14:paraId="314D370F"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48C9859" w14:textId="77777777" w:rsidR="007C74A2" w:rsidRPr="005D68A8" w:rsidRDefault="007C74A2" w:rsidP="005D68A8">
            <w:pPr>
              <w:jc w:val="left"/>
              <w:rPr>
                <w:rFonts w:ascii="Calibri" w:hAnsi="Calibri"/>
                <w:sz w:val="20"/>
                <w:szCs w:val="20"/>
              </w:rPr>
            </w:pPr>
            <w:r w:rsidRPr="005D68A8">
              <w:rPr>
                <w:rFonts w:ascii="Calibri" w:hAnsi="Calibri"/>
                <w:sz w:val="20"/>
                <w:szCs w:val="20"/>
              </w:rPr>
              <w:t>Ostali plasmani i AVR</w:t>
            </w:r>
          </w:p>
        </w:tc>
        <w:tc>
          <w:tcPr>
            <w:tcW w:w="2120" w:type="dxa"/>
            <w:tcBorders>
              <w:top w:val="nil"/>
              <w:left w:val="nil"/>
              <w:bottom w:val="single" w:sz="4" w:space="0" w:color="auto"/>
              <w:right w:val="single" w:sz="4" w:space="0" w:color="auto"/>
            </w:tcBorders>
            <w:shd w:val="clear" w:color="auto" w:fill="auto"/>
            <w:noWrap/>
            <w:vAlign w:val="center"/>
            <w:hideMark/>
          </w:tcPr>
          <w:p w14:paraId="10BD5D4F"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6.097.553,00</w:t>
            </w:r>
          </w:p>
        </w:tc>
        <w:tc>
          <w:tcPr>
            <w:tcW w:w="2140" w:type="dxa"/>
            <w:tcBorders>
              <w:top w:val="nil"/>
              <w:left w:val="nil"/>
              <w:bottom w:val="single" w:sz="4" w:space="0" w:color="auto"/>
              <w:right w:val="single" w:sz="4" w:space="0" w:color="auto"/>
            </w:tcBorders>
            <w:shd w:val="clear" w:color="auto" w:fill="auto"/>
            <w:noWrap/>
            <w:vAlign w:val="center"/>
            <w:hideMark/>
          </w:tcPr>
          <w:p w14:paraId="4BB16468" w14:textId="77777777" w:rsidR="007C74A2" w:rsidRPr="005D68A8" w:rsidRDefault="007C74A2" w:rsidP="005D68A8">
            <w:pPr>
              <w:jc w:val="right"/>
              <w:rPr>
                <w:rFonts w:ascii="Calibri" w:hAnsi="Calibri"/>
                <w:sz w:val="20"/>
                <w:szCs w:val="20"/>
              </w:rPr>
            </w:pPr>
            <w:r w:rsidRPr="005D68A8">
              <w:rPr>
                <w:rFonts w:ascii="Calibri" w:hAnsi="Calibri"/>
                <w:sz w:val="20"/>
                <w:szCs w:val="20"/>
              </w:rPr>
              <w:t>7.416.112,49</w:t>
            </w:r>
          </w:p>
        </w:tc>
        <w:tc>
          <w:tcPr>
            <w:tcW w:w="1380" w:type="dxa"/>
            <w:tcBorders>
              <w:top w:val="nil"/>
              <w:left w:val="nil"/>
              <w:bottom w:val="single" w:sz="4" w:space="0" w:color="auto"/>
              <w:right w:val="single" w:sz="4" w:space="0" w:color="auto"/>
            </w:tcBorders>
            <w:shd w:val="clear" w:color="auto" w:fill="auto"/>
            <w:noWrap/>
            <w:vAlign w:val="center"/>
            <w:hideMark/>
          </w:tcPr>
          <w:p w14:paraId="6F65D946" w14:textId="77777777" w:rsidR="007C74A2" w:rsidRDefault="007C74A2">
            <w:pPr>
              <w:jc w:val="right"/>
              <w:rPr>
                <w:rFonts w:ascii="Calibri" w:hAnsi="Calibri"/>
                <w:sz w:val="20"/>
                <w:szCs w:val="20"/>
              </w:rPr>
            </w:pPr>
            <w:r>
              <w:rPr>
                <w:rFonts w:ascii="Calibri" w:hAnsi="Calibri"/>
                <w:sz w:val="20"/>
                <w:szCs w:val="20"/>
              </w:rPr>
              <w:t>121,62</w:t>
            </w:r>
          </w:p>
        </w:tc>
      </w:tr>
      <w:tr w:rsidR="007C74A2" w:rsidRPr="005D68A8" w14:paraId="66ECCA6E"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7A461230"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Ukupno stalna sredstva</w:t>
            </w:r>
          </w:p>
        </w:tc>
        <w:tc>
          <w:tcPr>
            <w:tcW w:w="2120" w:type="dxa"/>
            <w:tcBorders>
              <w:top w:val="nil"/>
              <w:left w:val="nil"/>
              <w:bottom w:val="single" w:sz="4" w:space="0" w:color="auto"/>
              <w:right w:val="single" w:sz="4" w:space="0" w:color="auto"/>
            </w:tcBorders>
            <w:shd w:val="clear" w:color="000000" w:fill="C5D9F1"/>
            <w:noWrap/>
            <w:vAlign w:val="center"/>
            <w:hideMark/>
          </w:tcPr>
          <w:p w14:paraId="6D34B02C"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375.643,00</w:t>
            </w:r>
          </w:p>
        </w:tc>
        <w:tc>
          <w:tcPr>
            <w:tcW w:w="2140" w:type="dxa"/>
            <w:tcBorders>
              <w:top w:val="nil"/>
              <w:left w:val="nil"/>
              <w:bottom w:val="single" w:sz="4" w:space="0" w:color="auto"/>
              <w:right w:val="single" w:sz="4" w:space="0" w:color="auto"/>
            </w:tcBorders>
            <w:shd w:val="clear" w:color="000000" w:fill="C5D9F1"/>
            <w:noWrap/>
            <w:vAlign w:val="center"/>
            <w:hideMark/>
          </w:tcPr>
          <w:p w14:paraId="19578830"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325.769,77</w:t>
            </w:r>
          </w:p>
        </w:tc>
        <w:tc>
          <w:tcPr>
            <w:tcW w:w="1380" w:type="dxa"/>
            <w:tcBorders>
              <w:top w:val="nil"/>
              <w:left w:val="nil"/>
              <w:bottom w:val="single" w:sz="4" w:space="0" w:color="auto"/>
              <w:right w:val="single" w:sz="4" w:space="0" w:color="auto"/>
            </w:tcBorders>
            <w:shd w:val="clear" w:color="000000" w:fill="C5D9F1"/>
            <w:noWrap/>
            <w:vAlign w:val="center"/>
            <w:hideMark/>
          </w:tcPr>
          <w:p w14:paraId="4E106B2F" w14:textId="77777777" w:rsidR="007C74A2" w:rsidRDefault="007C74A2">
            <w:pPr>
              <w:jc w:val="right"/>
              <w:rPr>
                <w:rFonts w:ascii="Calibri" w:hAnsi="Calibri"/>
                <w:b/>
                <w:bCs/>
                <w:sz w:val="20"/>
                <w:szCs w:val="20"/>
              </w:rPr>
            </w:pPr>
            <w:r>
              <w:rPr>
                <w:rFonts w:ascii="Calibri" w:hAnsi="Calibri"/>
                <w:b/>
                <w:bCs/>
                <w:sz w:val="20"/>
                <w:szCs w:val="20"/>
              </w:rPr>
              <w:t>86,72</w:t>
            </w:r>
          </w:p>
        </w:tc>
      </w:tr>
      <w:tr w:rsidR="007C74A2" w:rsidRPr="005D68A8" w14:paraId="3439E980"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51ECE6E" w14:textId="77777777" w:rsidR="007C74A2" w:rsidRPr="005D68A8" w:rsidRDefault="007C74A2" w:rsidP="005D68A8">
            <w:pPr>
              <w:jc w:val="left"/>
              <w:rPr>
                <w:rFonts w:ascii="Calibri" w:hAnsi="Calibri"/>
                <w:sz w:val="20"/>
                <w:szCs w:val="20"/>
              </w:rPr>
            </w:pPr>
            <w:r w:rsidRPr="005D68A8">
              <w:rPr>
                <w:rFonts w:ascii="Calibri" w:hAnsi="Calibri"/>
                <w:sz w:val="20"/>
                <w:szCs w:val="20"/>
              </w:rPr>
              <w:t>Osnovna sredstva i ulaganja u nekretnine</w:t>
            </w:r>
          </w:p>
        </w:tc>
        <w:tc>
          <w:tcPr>
            <w:tcW w:w="2120" w:type="dxa"/>
            <w:tcBorders>
              <w:top w:val="nil"/>
              <w:left w:val="nil"/>
              <w:bottom w:val="single" w:sz="4" w:space="0" w:color="auto"/>
              <w:right w:val="single" w:sz="4" w:space="0" w:color="auto"/>
            </w:tcBorders>
            <w:shd w:val="clear" w:color="auto" w:fill="auto"/>
            <w:noWrap/>
            <w:vAlign w:val="center"/>
            <w:hideMark/>
          </w:tcPr>
          <w:p w14:paraId="29E21E17"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225.121,00</w:t>
            </w:r>
          </w:p>
        </w:tc>
        <w:tc>
          <w:tcPr>
            <w:tcW w:w="2140" w:type="dxa"/>
            <w:tcBorders>
              <w:top w:val="nil"/>
              <w:left w:val="nil"/>
              <w:bottom w:val="single" w:sz="4" w:space="0" w:color="auto"/>
              <w:right w:val="single" w:sz="4" w:space="0" w:color="auto"/>
            </w:tcBorders>
            <w:shd w:val="clear" w:color="auto" w:fill="auto"/>
            <w:noWrap/>
            <w:vAlign w:val="center"/>
            <w:hideMark/>
          </w:tcPr>
          <w:p w14:paraId="62A920CF" w14:textId="77777777" w:rsidR="007C74A2" w:rsidRPr="005D68A8" w:rsidRDefault="007C74A2" w:rsidP="005D68A8">
            <w:pPr>
              <w:jc w:val="right"/>
              <w:rPr>
                <w:rFonts w:ascii="Calibri" w:hAnsi="Calibri"/>
                <w:sz w:val="20"/>
                <w:szCs w:val="20"/>
              </w:rPr>
            </w:pPr>
            <w:r w:rsidRPr="005D68A8">
              <w:rPr>
                <w:rFonts w:ascii="Calibri" w:hAnsi="Calibri"/>
                <w:sz w:val="20"/>
                <w:szCs w:val="20"/>
              </w:rPr>
              <w:t>177.822,52</w:t>
            </w:r>
          </w:p>
        </w:tc>
        <w:tc>
          <w:tcPr>
            <w:tcW w:w="1380" w:type="dxa"/>
            <w:tcBorders>
              <w:top w:val="nil"/>
              <w:left w:val="nil"/>
              <w:bottom w:val="single" w:sz="4" w:space="0" w:color="auto"/>
              <w:right w:val="single" w:sz="4" w:space="0" w:color="auto"/>
            </w:tcBorders>
            <w:shd w:val="clear" w:color="auto" w:fill="auto"/>
            <w:noWrap/>
            <w:vAlign w:val="center"/>
            <w:hideMark/>
          </w:tcPr>
          <w:p w14:paraId="0D5C97D8" w14:textId="77777777" w:rsidR="007C74A2" w:rsidRDefault="007C74A2">
            <w:pPr>
              <w:jc w:val="right"/>
              <w:rPr>
                <w:rFonts w:ascii="Calibri" w:hAnsi="Calibri"/>
                <w:sz w:val="20"/>
                <w:szCs w:val="20"/>
              </w:rPr>
            </w:pPr>
            <w:r>
              <w:rPr>
                <w:rFonts w:ascii="Calibri" w:hAnsi="Calibri"/>
                <w:sz w:val="20"/>
                <w:szCs w:val="20"/>
              </w:rPr>
              <w:t>78,99</w:t>
            </w:r>
          </w:p>
        </w:tc>
      </w:tr>
      <w:tr w:rsidR="007C74A2" w:rsidRPr="005D68A8" w14:paraId="3D1A0359"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CBF9789" w14:textId="77777777" w:rsidR="007C74A2" w:rsidRPr="005D68A8" w:rsidRDefault="007C74A2" w:rsidP="005D68A8">
            <w:pPr>
              <w:jc w:val="left"/>
              <w:rPr>
                <w:rFonts w:ascii="Calibri" w:hAnsi="Calibri"/>
                <w:sz w:val="20"/>
                <w:szCs w:val="20"/>
              </w:rPr>
            </w:pPr>
            <w:r w:rsidRPr="005D68A8">
              <w:rPr>
                <w:rFonts w:ascii="Calibri" w:hAnsi="Calibri"/>
                <w:sz w:val="20"/>
                <w:szCs w:val="20"/>
              </w:rPr>
              <w:t>Ostala nematerijalna sredstva</w:t>
            </w:r>
          </w:p>
        </w:tc>
        <w:tc>
          <w:tcPr>
            <w:tcW w:w="2120" w:type="dxa"/>
            <w:tcBorders>
              <w:top w:val="nil"/>
              <w:left w:val="nil"/>
              <w:bottom w:val="single" w:sz="4" w:space="0" w:color="auto"/>
              <w:right w:val="single" w:sz="4" w:space="0" w:color="auto"/>
            </w:tcBorders>
            <w:shd w:val="clear" w:color="auto" w:fill="auto"/>
            <w:noWrap/>
            <w:vAlign w:val="center"/>
            <w:hideMark/>
          </w:tcPr>
          <w:p w14:paraId="4D2539E9" w14:textId="77777777" w:rsidR="007C74A2" w:rsidRPr="005D68A8" w:rsidRDefault="007C74A2" w:rsidP="005D68A8">
            <w:pPr>
              <w:jc w:val="right"/>
              <w:rPr>
                <w:rFonts w:ascii="Calibri" w:hAnsi="Calibri"/>
                <w:sz w:val="20"/>
                <w:szCs w:val="20"/>
              </w:rPr>
            </w:pPr>
            <w:r w:rsidRPr="005D68A8">
              <w:rPr>
                <w:rFonts w:ascii="Calibri" w:hAnsi="Calibri"/>
                <w:sz w:val="20"/>
                <w:szCs w:val="20"/>
              </w:rPr>
              <w:t>48.662,00</w:t>
            </w:r>
          </w:p>
        </w:tc>
        <w:tc>
          <w:tcPr>
            <w:tcW w:w="2140" w:type="dxa"/>
            <w:tcBorders>
              <w:top w:val="nil"/>
              <w:left w:val="nil"/>
              <w:bottom w:val="single" w:sz="4" w:space="0" w:color="auto"/>
              <w:right w:val="single" w:sz="4" w:space="0" w:color="auto"/>
            </w:tcBorders>
            <w:shd w:val="clear" w:color="auto" w:fill="auto"/>
            <w:noWrap/>
            <w:vAlign w:val="center"/>
            <w:hideMark/>
          </w:tcPr>
          <w:p w14:paraId="282B8300" w14:textId="77777777" w:rsidR="007C74A2" w:rsidRPr="005D68A8" w:rsidRDefault="007C74A2" w:rsidP="005D68A8">
            <w:pPr>
              <w:jc w:val="right"/>
              <w:rPr>
                <w:rFonts w:ascii="Calibri" w:hAnsi="Calibri"/>
                <w:sz w:val="20"/>
                <w:szCs w:val="20"/>
              </w:rPr>
            </w:pPr>
            <w:r w:rsidRPr="005D68A8">
              <w:rPr>
                <w:rFonts w:ascii="Calibri" w:hAnsi="Calibri"/>
                <w:sz w:val="20"/>
                <w:szCs w:val="20"/>
              </w:rPr>
              <w:t>49.318,25</w:t>
            </w:r>
          </w:p>
        </w:tc>
        <w:tc>
          <w:tcPr>
            <w:tcW w:w="1380" w:type="dxa"/>
            <w:tcBorders>
              <w:top w:val="nil"/>
              <w:left w:val="nil"/>
              <w:bottom w:val="single" w:sz="4" w:space="0" w:color="auto"/>
              <w:right w:val="single" w:sz="4" w:space="0" w:color="auto"/>
            </w:tcBorders>
            <w:shd w:val="clear" w:color="auto" w:fill="auto"/>
            <w:noWrap/>
            <w:vAlign w:val="center"/>
            <w:hideMark/>
          </w:tcPr>
          <w:p w14:paraId="284D6B4C" w14:textId="77777777" w:rsidR="007C74A2" w:rsidRDefault="007C74A2">
            <w:pPr>
              <w:jc w:val="right"/>
              <w:rPr>
                <w:rFonts w:ascii="Calibri" w:hAnsi="Calibri"/>
                <w:sz w:val="20"/>
                <w:szCs w:val="20"/>
              </w:rPr>
            </w:pPr>
            <w:r>
              <w:rPr>
                <w:rFonts w:ascii="Calibri" w:hAnsi="Calibri"/>
                <w:sz w:val="20"/>
                <w:szCs w:val="20"/>
              </w:rPr>
              <w:t>101,35</w:t>
            </w:r>
          </w:p>
        </w:tc>
      </w:tr>
      <w:tr w:rsidR="007C74A2" w:rsidRPr="005D68A8" w14:paraId="66C531CF"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29FF44C6"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Stalna sredstva namijenjena prodaji</w:t>
            </w:r>
          </w:p>
        </w:tc>
        <w:tc>
          <w:tcPr>
            <w:tcW w:w="2120" w:type="dxa"/>
            <w:tcBorders>
              <w:top w:val="nil"/>
              <w:left w:val="nil"/>
              <w:bottom w:val="single" w:sz="4" w:space="0" w:color="auto"/>
              <w:right w:val="single" w:sz="4" w:space="0" w:color="auto"/>
            </w:tcBorders>
            <w:shd w:val="clear" w:color="auto" w:fill="auto"/>
            <w:noWrap/>
            <w:vAlign w:val="center"/>
            <w:hideMark/>
          </w:tcPr>
          <w:p w14:paraId="40FE38CB"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101.860,00</w:t>
            </w:r>
          </w:p>
        </w:tc>
        <w:tc>
          <w:tcPr>
            <w:tcW w:w="2140" w:type="dxa"/>
            <w:tcBorders>
              <w:top w:val="nil"/>
              <w:left w:val="nil"/>
              <w:bottom w:val="single" w:sz="4" w:space="0" w:color="auto"/>
              <w:right w:val="single" w:sz="4" w:space="0" w:color="auto"/>
            </w:tcBorders>
            <w:shd w:val="clear" w:color="auto" w:fill="auto"/>
            <w:noWrap/>
            <w:vAlign w:val="center"/>
            <w:hideMark/>
          </w:tcPr>
          <w:p w14:paraId="73D5ADEB" w14:textId="77777777" w:rsidR="007C74A2" w:rsidRPr="005D68A8" w:rsidRDefault="007C74A2" w:rsidP="005D68A8">
            <w:pPr>
              <w:jc w:val="right"/>
              <w:rPr>
                <w:rFonts w:ascii="Calibri" w:hAnsi="Calibri"/>
                <w:sz w:val="20"/>
                <w:szCs w:val="20"/>
              </w:rPr>
            </w:pPr>
            <w:r w:rsidRPr="005D68A8">
              <w:rPr>
                <w:rFonts w:ascii="Calibri" w:hAnsi="Calibri"/>
                <w:sz w:val="20"/>
                <w:szCs w:val="20"/>
              </w:rPr>
              <w:t>98.629,00</w:t>
            </w:r>
          </w:p>
        </w:tc>
        <w:tc>
          <w:tcPr>
            <w:tcW w:w="1380" w:type="dxa"/>
            <w:tcBorders>
              <w:top w:val="nil"/>
              <w:left w:val="nil"/>
              <w:bottom w:val="single" w:sz="4" w:space="0" w:color="auto"/>
              <w:right w:val="single" w:sz="4" w:space="0" w:color="auto"/>
            </w:tcBorders>
            <w:shd w:val="clear" w:color="auto" w:fill="auto"/>
            <w:noWrap/>
            <w:vAlign w:val="center"/>
            <w:hideMark/>
          </w:tcPr>
          <w:p w14:paraId="677DF8F8" w14:textId="77777777" w:rsidR="007C74A2" w:rsidRDefault="007C74A2">
            <w:pPr>
              <w:jc w:val="right"/>
              <w:rPr>
                <w:rFonts w:ascii="Calibri" w:hAnsi="Calibri"/>
                <w:sz w:val="20"/>
                <w:szCs w:val="20"/>
              </w:rPr>
            </w:pPr>
            <w:r>
              <w:rPr>
                <w:rFonts w:ascii="Calibri" w:hAnsi="Calibri"/>
                <w:sz w:val="20"/>
                <w:szCs w:val="20"/>
              </w:rPr>
              <w:t>96,83</w:t>
            </w:r>
          </w:p>
        </w:tc>
      </w:tr>
      <w:tr w:rsidR="007C74A2" w:rsidRPr="005D68A8" w14:paraId="0270A5F3"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614CBBC" w14:textId="68C33373" w:rsidR="007C74A2" w:rsidRPr="005D68A8" w:rsidRDefault="005D0F9B" w:rsidP="005D68A8">
            <w:pPr>
              <w:jc w:val="left"/>
              <w:rPr>
                <w:rFonts w:ascii="Calibri" w:hAnsi="Calibri"/>
                <w:b/>
                <w:bCs/>
                <w:sz w:val="20"/>
                <w:szCs w:val="20"/>
              </w:rPr>
            </w:pPr>
            <w:r>
              <w:rPr>
                <w:rFonts w:ascii="Calibri" w:hAnsi="Calibri"/>
                <w:b/>
                <w:bCs/>
                <w:sz w:val="20"/>
                <w:szCs w:val="20"/>
              </w:rPr>
              <w:t>POSLOVNA AKTIVA</w:t>
            </w:r>
          </w:p>
        </w:tc>
        <w:tc>
          <w:tcPr>
            <w:tcW w:w="2120" w:type="dxa"/>
            <w:tcBorders>
              <w:top w:val="nil"/>
              <w:left w:val="nil"/>
              <w:bottom w:val="single" w:sz="4" w:space="0" w:color="auto"/>
              <w:right w:val="single" w:sz="4" w:space="0" w:color="auto"/>
            </w:tcBorders>
            <w:shd w:val="clear" w:color="auto" w:fill="auto"/>
            <w:noWrap/>
            <w:vAlign w:val="center"/>
            <w:hideMark/>
          </w:tcPr>
          <w:p w14:paraId="56D8B699"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20.241.193,00</w:t>
            </w:r>
          </w:p>
        </w:tc>
        <w:tc>
          <w:tcPr>
            <w:tcW w:w="2140" w:type="dxa"/>
            <w:tcBorders>
              <w:top w:val="nil"/>
              <w:left w:val="nil"/>
              <w:bottom w:val="single" w:sz="4" w:space="0" w:color="auto"/>
              <w:right w:val="single" w:sz="4" w:space="0" w:color="auto"/>
            </w:tcBorders>
            <w:shd w:val="clear" w:color="auto" w:fill="auto"/>
            <w:noWrap/>
            <w:vAlign w:val="center"/>
            <w:hideMark/>
          </w:tcPr>
          <w:p w14:paraId="52E1FA7A"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20.879.630,86</w:t>
            </w:r>
          </w:p>
        </w:tc>
        <w:tc>
          <w:tcPr>
            <w:tcW w:w="1380" w:type="dxa"/>
            <w:tcBorders>
              <w:top w:val="nil"/>
              <w:left w:val="nil"/>
              <w:bottom w:val="single" w:sz="4" w:space="0" w:color="auto"/>
              <w:right w:val="single" w:sz="4" w:space="0" w:color="auto"/>
            </w:tcBorders>
            <w:shd w:val="clear" w:color="auto" w:fill="auto"/>
            <w:noWrap/>
            <w:vAlign w:val="center"/>
            <w:hideMark/>
          </w:tcPr>
          <w:p w14:paraId="4252ED91" w14:textId="77777777" w:rsidR="007C74A2" w:rsidRDefault="007C74A2">
            <w:pPr>
              <w:jc w:val="right"/>
              <w:rPr>
                <w:rFonts w:ascii="Calibri" w:hAnsi="Calibri"/>
                <w:sz w:val="20"/>
                <w:szCs w:val="20"/>
              </w:rPr>
            </w:pPr>
            <w:r>
              <w:rPr>
                <w:rFonts w:ascii="Calibri" w:hAnsi="Calibri"/>
                <w:sz w:val="20"/>
                <w:szCs w:val="20"/>
              </w:rPr>
              <w:t>103,15</w:t>
            </w:r>
          </w:p>
        </w:tc>
      </w:tr>
      <w:tr w:rsidR="007C74A2" w:rsidRPr="005D68A8" w14:paraId="00EFDED6"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69B1FB0" w14:textId="3112BBEE" w:rsidR="007C74A2" w:rsidRPr="005D68A8" w:rsidRDefault="005D0F9B" w:rsidP="005D68A8">
            <w:pPr>
              <w:jc w:val="left"/>
              <w:rPr>
                <w:rFonts w:ascii="Calibri" w:hAnsi="Calibri"/>
                <w:b/>
                <w:bCs/>
                <w:sz w:val="20"/>
                <w:szCs w:val="20"/>
              </w:rPr>
            </w:pPr>
            <w:r>
              <w:rPr>
                <w:rFonts w:ascii="Calibri" w:hAnsi="Calibri"/>
                <w:b/>
                <w:bCs/>
                <w:sz w:val="20"/>
                <w:szCs w:val="20"/>
              </w:rPr>
              <w:t>VANBILANSNA AKTIVA</w:t>
            </w:r>
          </w:p>
        </w:tc>
        <w:tc>
          <w:tcPr>
            <w:tcW w:w="2120" w:type="dxa"/>
            <w:tcBorders>
              <w:top w:val="nil"/>
              <w:left w:val="nil"/>
              <w:bottom w:val="single" w:sz="4" w:space="0" w:color="auto"/>
              <w:right w:val="single" w:sz="4" w:space="0" w:color="auto"/>
            </w:tcBorders>
            <w:shd w:val="clear" w:color="auto" w:fill="auto"/>
            <w:noWrap/>
            <w:vAlign w:val="center"/>
            <w:hideMark/>
          </w:tcPr>
          <w:p w14:paraId="781B768F"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42.519.116,00</w:t>
            </w:r>
          </w:p>
        </w:tc>
        <w:tc>
          <w:tcPr>
            <w:tcW w:w="2140" w:type="dxa"/>
            <w:tcBorders>
              <w:top w:val="nil"/>
              <w:left w:val="nil"/>
              <w:bottom w:val="single" w:sz="4" w:space="0" w:color="auto"/>
              <w:right w:val="single" w:sz="4" w:space="0" w:color="auto"/>
            </w:tcBorders>
            <w:shd w:val="clear" w:color="auto" w:fill="auto"/>
            <w:noWrap/>
            <w:vAlign w:val="center"/>
            <w:hideMark/>
          </w:tcPr>
          <w:p w14:paraId="50A031B3"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53.569.487,72</w:t>
            </w:r>
          </w:p>
        </w:tc>
        <w:tc>
          <w:tcPr>
            <w:tcW w:w="1380" w:type="dxa"/>
            <w:tcBorders>
              <w:top w:val="nil"/>
              <w:left w:val="nil"/>
              <w:bottom w:val="single" w:sz="4" w:space="0" w:color="auto"/>
              <w:right w:val="single" w:sz="4" w:space="0" w:color="auto"/>
            </w:tcBorders>
            <w:shd w:val="clear" w:color="auto" w:fill="auto"/>
            <w:noWrap/>
            <w:vAlign w:val="center"/>
            <w:hideMark/>
          </w:tcPr>
          <w:p w14:paraId="2C9F93A5" w14:textId="77777777" w:rsidR="007C74A2" w:rsidRDefault="007C74A2">
            <w:pPr>
              <w:jc w:val="right"/>
              <w:rPr>
                <w:rFonts w:ascii="Calibri" w:hAnsi="Calibri"/>
                <w:sz w:val="20"/>
                <w:szCs w:val="20"/>
              </w:rPr>
            </w:pPr>
            <w:r>
              <w:rPr>
                <w:rFonts w:ascii="Calibri" w:hAnsi="Calibri"/>
                <w:sz w:val="20"/>
                <w:szCs w:val="20"/>
              </w:rPr>
              <w:t>125,99</w:t>
            </w:r>
          </w:p>
        </w:tc>
      </w:tr>
      <w:tr w:rsidR="007C74A2" w:rsidRPr="005D68A8" w14:paraId="55DB0246"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8DB3E2"/>
            <w:vAlign w:val="center"/>
            <w:hideMark/>
          </w:tcPr>
          <w:p w14:paraId="0D446C92" w14:textId="0BB5F504" w:rsidR="007C74A2" w:rsidRPr="005D68A8" w:rsidRDefault="005D0F9B" w:rsidP="005D68A8">
            <w:pPr>
              <w:jc w:val="left"/>
              <w:rPr>
                <w:rFonts w:ascii="Calibri" w:hAnsi="Calibri"/>
                <w:b/>
                <w:bCs/>
                <w:sz w:val="20"/>
                <w:szCs w:val="20"/>
              </w:rPr>
            </w:pPr>
            <w:r>
              <w:rPr>
                <w:rFonts w:ascii="Calibri" w:hAnsi="Calibri"/>
                <w:b/>
                <w:bCs/>
                <w:sz w:val="20"/>
                <w:szCs w:val="20"/>
              </w:rPr>
              <w:t>UKUPNA AKTIVA</w:t>
            </w:r>
          </w:p>
        </w:tc>
        <w:tc>
          <w:tcPr>
            <w:tcW w:w="2120" w:type="dxa"/>
            <w:tcBorders>
              <w:top w:val="nil"/>
              <w:left w:val="nil"/>
              <w:bottom w:val="single" w:sz="4" w:space="0" w:color="auto"/>
              <w:right w:val="single" w:sz="4" w:space="0" w:color="auto"/>
            </w:tcBorders>
            <w:shd w:val="clear" w:color="000000" w:fill="8DB3E2"/>
            <w:noWrap/>
            <w:vAlign w:val="center"/>
            <w:hideMark/>
          </w:tcPr>
          <w:p w14:paraId="1505D2B1"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62.760.309,00</w:t>
            </w:r>
          </w:p>
        </w:tc>
        <w:tc>
          <w:tcPr>
            <w:tcW w:w="2140" w:type="dxa"/>
            <w:tcBorders>
              <w:top w:val="nil"/>
              <w:left w:val="nil"/>
              <w:bottom w:val="single" w:sz="4" w:space="0" w:color="auto"/>
              <w:right w:val="single" w:sz="4" w:space="0" w:color="auto"/>
            </w:tcBorders>
            <w:shd w:val="clear" w:color="000000" w:fill="8DB3E2"/>
            <w:noWrap/>
            <w:vAlign w:val="center"/>
            <w:hideMark/>
          </w:tcPr>
          <w:p w14:paraId="1B709161"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74.449.118,58</w:t>
            </w:r>
          </w:p>
        </w:tc>
        <w:tc>
          <w:tcPr>
            <w:tcW w:w="1380" w:type="dxa"/>
            <w:tcBorders>
              <w:top w:val="nil"/>
              <w:left w:val="nil"/>
              <w:bottom w:val="single" w:sz="4" w:space="0" w:color="auto"/>
              <w:right w:val="single" w:sz="4" w:space="0" w:color="auto"/>
            </w:tcBorders>
            <w:shd w:val="clear" w:color="000000" w:fill="8DB3E2"/>
            <w:noWrap/>
            <w:vAlign w:val="center"/>
            <w:hideMark/>
          </w:tcPr>
          <w:p w14:paraId="4885F37E" w14:textId="77777777" w:rsidR="007C74A2" w:rsidRDefault="007C74A2">
            <w:pPr>
              <w:jc w:val="right"/>
              <w:rPr>
                <w:rFonts w:ascii="Calibri" w:hAnsi="Calibri"/>
                <w:b/>
                <w:bCs/>
                <w:sz w:val="20"/>
                <w:szCs w:val="20"/>
              </w:rPr>
            </w:pPr>
            <w:r>
              <w:rPr>
                <w:rFonts w:ascii="Calibri" w:hAnsi="Calibri"/>
                <w:b/>
                <w:bCs/>
                <w:sz w:val="20"/>
                <w:szCs w:val="20"/>
              </w:rPr>
              <w:t>118,62</w:t>
            </w:r>
          </w:p>
        </w:tc>
      </w:tr>
      <w:tr w:rsidR="007C74A2" w:rsidRPr="005D68A8" w14:paraId="1042EAF6" w14:textId="77777777" w:rsidTr="0074609B">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4DF32353" w14:textId="77777777" w:rsidR="007C74A2" w:rsidRPr="005D68A8" w:rsidRDefault="007C74A2" w:rsidP="005D68A8">
            <w:pPr>
              <w:jc w:val="left"/>
              <w:rPr>
                <w:rFonts w:ascii="Calibri" w:hAnsi="Calibri"/>
                <w:b/>
                <w:bCs/>
                <w:sz w:val="20"/>
                <w:szCs w:val="20"/>
              </w:rPr>
            </w:pPr>
            <w:r w:rsidRPr="005D68A8">
              <w:rPr>
                <w:rFonts w:ascii="Calibri" w:hAnsi="Calibri"/>
                <w:b/>
                <w:bCs/>
                <w:sz w:val="20"/>
                <w:szCs w:val="20"/>
              </w:rPr>
              <w:t>Ukupno obaveze</w:t>
            </w:r>
          </w:p>
        </w:tc>
        <w:tc>
          <w:tcPr>
            <w:tcW w:w="2120" w:type="dxa"/>
            <w:tcBorders>
              <w:top w:val="nil"/>
              <w:left w:val="nil"/>
              <w:bottom w:val="single" w:sz="4" w:space="0" w:color="auto"/>
              <w:right w:val="single" w:sz="4" w:space="0" w:color="auto"/>
            </w:tcBorders>
            <w:shd w:val="clear" w:color="000000" w:fill="C5D9F1"/>
            <w:noWrap/>
            <w:vAlign w:val="center"/>
            <w:hideMark/>
          </w:tcPr>
          <w:p w14:paraId="039F1693"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626.105,00</w:t>
            </w:r>
          </w:p>
        </w:tc>
        <w:tc>
          <w:tcPr>
            <w:tcW w:w="2140" w:type="dxa"/>
            <w:tcBorders>
              <w:top w:val="nil"/>
              <w:left w:val="nil"/>
              <w:bottom w:val="single" w:sz="4" w:space="0" w:color="auto"/>
              <w:right w:val="single" w:sz="4" w:space="0" w:color="auto"/>
            </w:tcBorders>
            <w:shd w:val="clear" w:color="000000" w:fill="C5D9F1"/>
            <w:noWrap/>
            <w:vAlign w:val="center"/>
            <w:hideMark/>
          </w:tcPr>
          <w:p w14:paraId="0931BCB4" w14:textId="77777777" w:rsidR="007C74A2" w:rsidRPr="005D68A8" w:rsidRDefault="007C74A2" w:rsidP="005D68A8">
            <w:pPr>
              <w:jc w:val="right"/>
              <w:rPr>
                <w:rFonts w:ascii="Calibri" w:hAnsi="Calibri"/>
                <w:b/>
                <w:bCs/>
                <w:color w:val="auto"/>
                <w:sz w:val="20"/>
                <w:szCs w:val="20"/>
              </w:rPr>
            </w:pPr>
            <w:r w:rsidRPr="005D68A8">
              <w:rPr>
                <w:rFonts w:ascii="Calibri" w:hAnsi="Calibri"/>
                <w:b/>
                <w:bCs/>
                <w:color w:val="auto"/>
                <w:sz w:val="20"/>
                <w:szCs w:val="20"/>
              </w:rPr>
              <w:t>3.050.241,61</w:t>
            </w:r>
          </w:p>
        </w:tc>
        <w:tc>
          <w:tcPr>
            <w:tcW w:w="1380" w:type="dxa"/>
            <w:tcBorders>
              <w:top w:val="nil"/>
              <w:left w:val="nil"/>
              <w:bottom w:val="single" w:sz="4" w:space="0" w:color="auto"/>
              <w:right w:val="single" w:sz="4" w:space="0" w:color="auto"/>
            </w:tcBorders>
            <w:shd w:val="clear" w:color="000000" w:fill="C5D9F1"/>
            <w:noWrap/>
            <w:vAlign w:val="center"/>
            <w:hideMark/>
          </w:tcPr>
          <w:p w14:paraId="5420FAD0" w14:textId="77777777" w:rsidR="007C74A2" w:rsidRDefault="007C74A2">
            <w:pPr>
              <w:jc w:val="right"/>
              <w:rPr>
                <w:rFonts w:ascii="Calibri" w:hAnsi="Calibri"/>
                <w:b/>
                <w:bCs/>
                <w:sz w:val="20"/>
                <w:szCs w:val="20"/>
              </w:rPr>
            </w:pPr>
            <w:r>
              <w:rPr>
                <w:rFonts w:ascii="Calibri" w:hAnsi="Calibri"/>
                <w:b/>
                <w:bCs/>
                <w:sz w:val="20"/>
                <w:szCs w:val="20"/>
              </w:rPr>
              <w:t>487,18</w:t>
            </w:r>
          </w:p>
        </w:tc>
      </w:tr>
      <w:tr w:rsidR="007C74A2" w:rsidRPr="005D68A8" w14:paraId="3D3E0DB9" w14:textId="77777777" w:rsidTr="0074609B">
        <w:trPr>
          <w:trHeight w:val="51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C9A55" w14:textId="77777777" w:rsidR="007C74A2" w:rsidRPr="005D68A8" w:rsidRDefault="007C74A2" w:rsidP="005D68A8">
            <w:pPr>
              <w:jc w:val="left"/>
              <w:rPr>
                <w:rFonts w:ascii="Calibri" w:hAnsi="Calibri"/>
                <w:sz w:val="20"/>
                <w:szCs w:val="20"/>
              </w:rPr>
            </w:pPr>
            <w:r w:rsidRPr="005D68A8">
              <w:rPr>
                <w:rFonts w:ascii="Calibri" w:hAnsi="Calibri"/>
                <w:sz w:val="20"/>
                <w:szCs w:val="20"/>
              </w:rPr>
              <w:t>Obaveze za kamatu po osnovu ostalih fin. obaveza</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19F9AD36"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0,00</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1A76ADB0"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288.993,46</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55F1EDD6" w14:textId="77777777" w:rsidR="007C74A2" w:rsidRDefault="007C74A2">
            <w:pPr>
              <w:jc w:val="right"/>
              <w:rPr>
                <w:rFonts w:ascii="Calibri" w:hAnsi="Calibri"/>
                <w:sz w:val="20"/>
                <w:szCs w:val="20"/>
              </w:rPr>
            </w:pPr>
            <w:r>
              <w:rPr>
                <w:rFonts w:ascii="Calibri" w:hAnsi="Calibri"/>
                <w:sz w:val="20"/>
                <w:szCs w:val="20"/>
              </w:rPr>
              <w:t> </w:t>
            </w:r>
          </w:p>
        </w:tc>
      </w:tr>
      <w:tr w:rsidR="000A2432" w14:paraId="2F267759" w14:textId="77777777" w:rsidTr="00CE1CD0">
        <w:trPr>
          <w:trHeight w:val="720"/>
        </w:trPr>
        <w:tc>
          <w:tcPr>
            <w:tcW w:w="3160" w:type="dxa"/>
            <w:tcBorders>
              <w:top w:val="single" w:sz="4" w:space="0" w:color="auto"/>
              <w:left w:val="single" w:sz="4" w:space="0" w:color="auto"/>
              <w:bottom w:val="single" w:sz="4" w:space="0" w:color="auto"/>
              <w:right w:val="single" w:sz="4" w:space="0" w:color="auto"/>
            </w:tcBorders>
            <w:shd w:val="clear" w:color="000000" w:fill="8DB3E2"/>
            <w:vAlign w:val="center"/>
            <w:hideMark/>
          </w:tcPr>
          <w:p w14:paraId="0E7DAAF2" w14:textId="77777777" w:rsidR="000A2432" w:rsidRPr="005D68A8" w:rsidRDefault="000A2432" w:rsidP="00CE1CD0">
            <w:pPr>
              <w:jc w:val="center"/>
              <w:rPr>
                <w:rFonts w:ascii="Calibri" w:hAnsi="Calibri"/>
                <w:b/>
                <w:bCs/>
                <w:sz w:val="20"/>
                <w:szCs w:val="20"/>
              </w:rPr>
            </w:pPr>
            <w:r>
              <w:rPr>
                <w:rFonts w:ascii="Calibri" w:hAnsi="Calibri"/>
                <w:b/>
                <w:bCs/>
                <w:sz w:val="20"/>
                <w:szCs w:val="20"/>
              </w:rPr>
              <w:lastRenderedPageBreak/>
              <w:t>Bilansna pozicija</w:t>
            </w:r>
          </w:p>
        </w:tc>
        <w:tc>
          <w:tcPr>
            <w:tcW w:w="2120" w:type="dxa"/>
            <w:tcBorders>
              <w:top w:val="single" w:sz="4" w:space="0" w:color="auto"/>
              <w:left w:val="nil"/>
              <w:bottom w:val="single" w:sz="4" w:space="0" w:color="auto"/>
              <w:right w:val="single" w:sz="4" w:space="0" w:color="auto"/>
            </w:tcBorders>
            <w:shd w:val="clear" w:color="000000" w:fill="8DB3E2"/>
            <w:vAlign w:val="center"/>
            <w:hideMark/>
          </w:tcPr>
          <w:p w14:paraId="0613C409" w14:textId="77777777" w:rsidR="000A2432" w:rsidRPr="005D68A8" w:rsidRDefault="000A2432" w:rsidP="00CE1CD0">
            <w:pPr>
              <w:jc w:val="center"/>
              <w:rPr>
                <w:rFonts w:ascii="Calibri" w:hAnsi="Calibri"/>
                <w:b/>
                <w:bCs/>
                <w:sz w:val="20"/>
                <w:szCs w:val="20"/>
              </w:rPr>
            </w:pPr>
            <w:r>
              <w:rPr>
                <w:rFonts w:ascii="Calibri" w:hAnsi="Calibri"/>
                <w:b/>
                <w:bCs/>
                <w:sz w:val="20"/>
                <w:szCs w:val="20"/>
              </w:rPr>
              <w:t>Stanje na dan 31.12.2022.</w:t>
            </w:r>
          </w:p>
        </w:tc>
        <w:tc>
          <w:tcPr>
            <w:tcW w:w="2140" w:type="dxa"/>
            <w:tcBorders>
              <w:top w:val="single" w:sz="4" w:space="0" w:color="auto"/>
              <w:left w:val="nil"/>
              <w:bottom w:val="single" w:sz="4" w:space="0" w:color="auto"/>
              <w:right w:val="single" w:sz="4" w:space="0" w:color="auto"/>
            </w:tcBorders>
            <w:shd w:val="clear" w:color="000000" w:fill="8DB3E2"/>
            <w:vAlign w:val="center"/>
            <w:hideMark/>
          </w:tcPr>
          <w:p w14:paraId="3F5430A3" w14:textId="77777777" w:rsidR="000A2432" w:rsidRPr="005D68A8" w:rsidRDefault="000A2432" w:rsidP="00CE1CD0">
            <w:pPr>
              <w:jc w:val="center"/>
              <w:rPr>
                <w:rFonts w:ascii="Calibri" w:hAnsi="Calibri"/>
                <w:b/>
                <w:bCs/>
                <w:sz w:val="20"/>
                <w:szCs w:val="20"/>
              </w:rPr>
            </w:pPr>
            <w:r>
              <w:rPr>
                <w:rFonts w:ascii="Calibri" w:hAnsi="Calibri"/>
                <w:b/>
                <w:bCs/>
                <w:sz w:val="20"/>
                <w:szCs w:val="20"/>
              </w:rPr>
              <w:t>Stanje na dan</w:t>
            </w:r>
            <w:r w:rsidRPr="005D68A8">
              <w:rPr>
                <w:rFonts w:ascii="Calibri" w:hAnsi="Calibri"/>
                <w:b/>
                <w:bCs/>
                <w:sz w:val="20"/>
                <w:szCs w:val="20"/>
              </w:rPr>
              <w:t xml:space="preserve"> 31.12.2023.</w:t>
            </w:r>
          </w:p>
        </w:tc>
        <w:tc>
          <w:tcPr>
            <w:tcW w:w="1380" w:type="dxa"/>
            <w:tcBorders>
              <w:top w:val="single" w:sz="4" w:space="0" w:color="auto"/>
              <w:left w:val="nil"/>
              <w:bottom w:val="single" w:sz="4" w:space="0" w:color="auto"/>
              <w:right w:val="single" w:sz="4" w:space="0" w:color="auto"/>
            </w:tcBorders>
            <w:shd w:val="clear" w:color="000000" w:fill="8DB3E2"/>
            <w:noWrap/>
            <w:vAlign w:val="center"/>
            <w:hideMark/>
          </w:tcPr>
          <w:p w14:paraId="1BDAACDE" w14:textId="77777777" w:rsidR="000A2432" w:rsidRDefault="000A2432" w:rsidP="00CE1CD0">
            <w:pPr>
              <w:jc w:val="center"/>
              <w:rPr>
                <w:rFonts w:ascii="Calibri" w:hAnsi="Calibri"/>
                <w:b/>
                <w:bCs/>
                <w:sz w:val="20"/>
                <w:szCs w:val="20"/>
              </w:rPr>
            </w:pPr>
            <w:r>
              <w:rPr>
                <w:rFonts w:ascii="Calibri" w:hAnsi="Calibri"/>
                <w:b/>
                <w:bCs/>
                <w:sz w:val="20"/>
                <w:szCs w:val="20"/>
              </w:rPr>
              <w:t xml:space="preserve">Indeks </w:t>
            </w:r>
          </w:p>
        </w:tc>
      </w:tr>
      <w:tr w:rsidR="007C74A2" w:rsidRPr="005D68A8" w14:paraId="0E258189" w14:textId="77777777" w:rsidTr="0074609B">
        <w:trPr>
          <w:trHeight w:val="510"/>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14A07"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Obaveze za zarade i naknade zarada</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16A19D87" w14:textId="77777777" w:rsidR="007C74A2" w:rsidRPr="005D68A8" w:rsidRDefault="007C74A2" w:rsidP="005D68A8">
            <w:pPr>
              <w:jc w:val="right"/>
              <w:rPr>
                <w:rFonts w:ascii="Calibri" w:hAnsi="Calibri"/>
                <w:sz w:val="20"/>
                <w:szCs w:val="20"/>
              </w:rPr>
            </w:pPr>
            <w:r w:rsidRPr="005D68A8">
              <w:rPr>
                <w:rFonts w:ascii="Calibri" w:hAnsi="Calibri"/>
                <w:sz w:val="20"/>
                <w:szCs w:val="20"/>
              </w:rPr>
              <w:t>60.980,00</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5124F33F" w14:textId="77777777" w:rsidR="007C74A2" w:rsidRPr="005D68A8" w:rsidRDefault="007C74A2" w:rsidP="005D68A8">
            <w:pPr>
              <w:jc w:val="right"/>
              <w:rPr>
                <w:rFonts w:ascii="Calibri" w:hAnsi="Calibri"/>
                <w:sz w:val="20"/>
                <w:szCs w:val="20"/>
              </w:rPr>
            </w:pPr>
            <w:r w:rsidRPr="005D68A8">
              <w:rPr>
                <w:rFonts w:ascii="Calibri" w:hAnsi="Calibri"/>
                <w:sz w:val="20"/>
                <w:szCs w:val="20"/>
              </w:rPr>
              <w:t>80.703,53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1194A25D" w14:textId="77777777" w:rsidR="007C74A2" w:rsidRDefault="007C74A2">
            <w:pPr>
              <w:jc w:val="right"/>
              <w:rPr>
                <w:rFonts w:ascii="Calibri" w:hAnsi="Calibri"/>
                <w:sz w:val="20"/>
                <w:szCs w:val="20"/>
              </w:rPr>
            </w:pPr>
            <w:r>
              <w:rPr>
                <w:rFonts w:ascii="Calibri" w:hAnsi="Calibri"/>
                <w:sz w:val="20"/>
                <w:szCs w:val="20"/>
              </w:rPr>
              <w:t>132,34</w:t>
            </w:r>
          </w:p>
        </w:tc>
      </w:tr>
      <w:tr w:rsidR="007C74A2" w:rsidRPr="005D68A8" w14:paraId="435FE592"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4FE71DA4"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Obaveze za poreze i doprinose</w:t>
            </w:r>
          </w:p>
        </w:tc>
        <w:tc>
          <w:tcPr>
            <w:tcW w:w="2120" w:type="dxa"/>
            <w:tcBorders>
              <w:top w:val="nil"/>
              <w:left w:val="nil"/>
              <w:bottom w:val="single" w:sz="4" w:space="0" w:color="auto"/>
              <w:right w:val="single" w:sz="4" w:space="0" w:color="auto"/>
            </w:tcBorders>
            <w:shd w:val="clear" w:color="auto" w:fill="auto"/>
            <w:noWrap/>
            <w:vAlign w:val="center"/>
            <w:hideMark/>
          </w:tcPr>
          <w:p w14:paraId="7068F13F" w14:textId="77777777" w:rsidR="007C74A2" w:rsidRPr="005D68A8" w:rsidRDefault="007C74A2" w:rsidP="005D68A8">
            <w:pPr>
              <w:jc w:val="right"/>
              <w:rPr>
                <w:rFonts w:ascii="Calibri" w:hAnsi="Calibri"/>
                <w:sz w:val="20"/>
                <w:szCs w:val="20"/>
              </w:rPr>
            </w:pPr>
            <w:r w:rsidRPr="005D68A8">
              <w:rPr>
                <w:rFonts w:ascii="Calibri" w:hAnsi="Calibri"/>
                <w:sz w:val="20"/>
                <w:szCs w:val="20"/>
              </w:rPr>
              <w:t>35.533,00</w:t>
            </w:r>
          </w:p>
        </w:tc>
        <w:tc>
          <w:tcPr>
            <w:tcW w:w="2140" w:type="dxa"/>
            <w:tcBorders>
              <w:top w:val="nil"/>
              <w:left w:val="nil"/>
              <w:bottom w:val="single" w:sz="4" w:space="0" w:color="auto"/>
              <w:right w:val="single" w:sz="4" w:space="0" w:color="auto"/>
            </w:tcBorders>
            <w:shd w:val="clear" w:color="auto" w:fill="auto"/>
            <w:noWrap/>
            <w:vAlign w:val="center"/>
            <w:hideMark/>
          </w:tcPr>
          <w:p w14:paraId="04FBE178" w14:textId="77777777" w:rsidR="007C74A2" w:rsidRPr="005D68A8" w:rsidRDefault="007C74A2" w:rsidP="005D68A8">
            <w:pPr>
              <w:jc w:val="right"/>
              <w:rPr>
                <w:rFonts w:ascii="Calibri" w:hAnsi="Calibri"/>
                <w:sz w:val="20"/>
                <w:szCs w:val="20"/>
              </w:rPr>
            </w:pPr>
            <w:r w:rsidRPr="005D68A8">
              <w:rPr>
                <w:rFonts w:ascii="Calibri" w:hAnsi="Calibri"/>
                <w:sz w:val="20"/>
                <w:szCs w:val="20"/>
              </w:rPr>
              <w:t>45.824,06</w:t>
            </w:r>
          </w:p>
        </w:tc>
        <w:tc>
          <w:tcPr>
            <w:tcW w:w="1380" w:type="dxa"/>
            <w:tcBorders>
              <w:top w:val="nil"/>
              <w:left w:val="nil"/>
              <w:bottom w:val="single" w:sz="4" w:space="0" w:color="auto"/>
              <w:right w:val="single" w:sz="4" w:space="0" w:color="auto"/>
            </w:tcBorders>
            <w:shd w:val="clear" w:color="auto" w:fill="auto"/>
            <w:noWrap/>
            <w:vAlign w:val="center"/>
            <w:hideMark/>
          </w:tcPr>
          <w:p w14:paraId="4E057B81" w14:textId="77777777" w:rsidR="007C74A2" w:rsidRDefault="007C74A2">
            <w:pPr>
              <w:jc w:val="right"/>
              <w:rPr>
                <w:rFonts w:ascii="Calibri" w:hAnsi="Calibri"/>
                <w:sz w:val="20"/>
                <w:szCs w:val="20"/>
              </w:rPr>
            </w:pPr>
            <w:r>
              <w:rPr>
                <w:rFonts w:ascii="Calibri" w:hAnsi="Calibri"/>
                <w:sz w:val="20"/>
                <w:szCs w:val="20"/>
              </w:rPr>
              <w:t>128,96</w:t>
            </w:r>
          </w:p>
        </w:tc>
      </w:tr>
      <w:tr w:rsidR="007C74A2" w:rsidRPr="005D68A8" w14:paraId="3A35D5D2" w14:textId="77777777" w:rsidTr="005D68A8">
        <w:trPr>
          <w:trHeight w:val="510"/>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50F6E67C"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Obaveze po osnovu aktiviranih garancija</w:t>
            </w:r>
          </w:p>
        </w:tc>
        <w:tc>
          <w:tcPr>
            <w:tcW w:w="2120" w:type="dxa"/>
            <w:tcBorders>
              <w:top w:val="nil"/>
              <w:left w:val="nil"/>
              <w:bottom w:val="single" w:sz="4" w:space="0" w:color="auto"/>
              <w:right w:val="single" w:sz="4" w:space="0" w:color="auto"/>
            </w:tcBorders>
            <w:shd w:val="clear" w:color="auto" w:fill="auto"/>
            <w:noWrap/>
            <w:vAlign w:val="center"/>
            <w:hideMark/>
          </w:tcPr>
          <w:p w14:paraId="2AF4F1B9" w14:textId="77777777" w:rsidR="007C74A2" w:rsidRPr="005D68A8" w:rsidRDefault="007C74A2" w:rsidP="005D68A8">
            <w:pPr>
              <w:jc w:val="right"/>
              <w:rPr>
                <w:rFonts w:ascii="Calibri" w:hAnsi="Calibri"/>
                <w:sz w:val="20"/>
                <w:szCs w:val="20"/>
              </w:rPr>
            </w:pPr>
            <w:r w:rsidRPr="005D68A8">
              <w:rPr>
                <w:rFonts w:ascii="Calibri" w:hAnsi="Calibri"/>
                <w:sz w:val="20"/>
                <w:szCs w:val="20"/>
              </w:rPr>
              <w:t>0,00</w:t>
            </w:r>
          </w:p>
        </w:tc>
        <w:tc>
          <w:tcPr>
            <w:tcW w:w="2140" w:type="dxa"/>
            <w:tcBorders>
              <w:top w:val="nil"/>
              <w:left w:val="nil"/>
              <w:bottom w:val="single" w:sz="4" w:space="0" w:color="auto"/>
              <w:right w:val="single" w:sz="4" w:space="0" w:color="auto"/>
            </w:tcBorders>
            <w:shd w:val="clear" w:color="auto" w:fill="auto"/>
            <w:noWrap/>
            <w:vAlign w:val="center"/>
            <w:hideMark/>
          </w:tcPr>
          <w:p w14:paraId="11EA1569" w14:textId="77777777" w:rsidR="007C74A2" w:rsidRPr="005D68A8" w:rsidRDefault="007C74A2" w:rsidP="005D68A8">
            <w:pPr>
              <w:jc w:val="right"/>
              <w:rPr>
                <w:rFonts w:ascii="Calibri" w:hAnsi="Calibri"/>
                <w:sz w:val="20"/>
                <w:szCs w:val="20"/>
              </w:rPr>
            </w:pPr>
            <w:r w:rsidRPr="005D68A8">
              <w:rPr>
                <w:rFonts w:ascii="Calibri" w:hAnsi="Calibri"/>
                <w:sz w:val="20"/>
                <w:szCs w:val="20"/>
              </w:rPr>
              <w:t>1.485.962,50</w:t>
            </w:r>
          </w:p>
        </w:tc>
        <w:tc>
          <w:tcPr>
            <w:tcW w:w="1380" w:type="dxa"/>
            <w:tcBorders>
              <w:top w:val="nil"/>
              <w:left w:val="nil"/>
              <w:bottom w:val="single" w:sz="4" w:space="0" w:color="auto"/>
              <w:right w:val="single" w:sz="4" w:space="0" w:color="auto"/>
            </w:tcBorders>
            <w:shd w:val="clear" w:color="auto" w:fill="auto"/>
            <w:noWrap/>
            <w:vAlign w:val="center"/>
            <w:hideMark/>
          </w:tcPr>
          <w:p w14:paraId="5C441065" w14:textId="77777777" w:rsidR="007C74A2" w:rsidRDefault="007C74A2">
            <w:pPr>
              <w:jc w:val="right"/>
              <w:rPr>
                <w:rFonts w:ascii="Calibri" w:hAnsi="Calibri"/>
                <w:sz w:val="20"/>
                <w:szCs w:val="20"/>
              </w:rPr>
            </w:pPr>
            <w:r>
              <w:rPr>
                <w:rFonts w:ascii="Calibri" w:hAnsi="Calibri"/>
                <w:sz w:val="20"/>
                <w:szCs w:val="20"/>
              </w:rPr>
              <w:t> </w:t>
            </w:r>
          </w:p>
        </w:tc>
      </w:tr>
      <w:tr w:rsidR="007C74A2" w:rsidRPr="005D68A8" w14:paraId="6156974F"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3E58BF0B" w14:textId="4DF466E9"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Ost</w:t>
            </w:r>
            <w:r w:rsidR="005D0F9B">
              <w:rPr>
                <w:rFonts w:ascii="Calibri" w:hAnsi="Calibri"/>
                <w:color w:val="auto"/>
                <w:sz w:val="20"/>
                <w:szCs w:val="20"/>
              </w:rPr>
              <w:t xml:space="preserve">ale obaveze </w:t>
            </w:r>
          </w:p>
        </w:tc>
        <w:tc>
          <w:tcPr>
            <w:tcW w:w="2120" w:type="dxa"/>
            <w:tcBorders>
              <w:top w:val="nil"/>
              <w:left w:val="nil"/>
              <w:bottom w:val="single" w:sz="4" w:space="0" w:color="auto"/>
              <w:right w:val="single" w:sz="4" w:space="0" w:color="auto"/>
            </w:tcBorders>
            <w:shd w:val="clear" w:color="auto" w:fill="auto"/>
            <w:noWrap/>
            <w:vAlign w:val="center"/>
            <w:hideMark/>
          </w:tcPr>
          <w:p w14:paraId="6DA5D618" w14:textId="77777777" w:rsidR="007C74A2" w:rsidRPr="005D68A8" w:rsidRDefault="007C74A2" w:rsidP="005D68A8">
            <w:pPr>
              <w:jc w:val="right"/>
              <w:rPr>
                <w:rFonts w:ascii="Calibri" w:hAnsi="Calibri"/>
                <w:sz w:val="20"/>
                <w:szCs w:val="20"/>
              </w:rPr>
            </w:pPr>
            <w:r w:rsidRPr="005D68A8">
              <w:rPr>
                <w:rFonts w:ascii="Calibri" w:hAnsi="Calibri"/>
                <w:sz w:val="20"/>
                <w:szCs w:val="20"/>
              </w:rPr>
              <w:t>74.745,00</w:t>
            </w:r>
          </w:p>
        </w:tc>
        <w:tc>
          <w:tcPr>
            <w:tcW w:w="2140" w:type="dxa"/>
            <w:tcBorders>
              <w:top w:val="nil"/>
              <w:left w:val="nil"/>
              <w:bottom w:val="single" w:sz="4" w:space="0" w:color="auto"/>
              <w:right w:val="single" w:sz="4" w:space="0" w:color="auto"/>
            </w:tcBorders>
            <w:shd w:val="clear" w:color="auto" w:fill="auto"/>
            <w:noWrap/>
            <w:vAlign w:val="center"/>
            <w:hideMark/>
          </w:tcPr>
          <w:p w14:paraId="0E135367" w14:textId="77777777" w:rsidR="007C74A2" w:rsidRPr="005D68A8" w:rsidRDefault="007C74A2" w:rsidP="005D68A8">
            <w:pPr>
              <w:jc w:val="right"/>
              <w:rPr>
                <w:rFonts w:ascii="Calibri" w:hAnsi="Calibri"/>
                <w:sz w:val="20"/>
                <w:szCs w:val="20"/>
              </w:rPr>
            </w:pPr>
            <w:r w:rsidRPr="005D68A8">
              <w:rPr>
                <w:rFonts w:ascii="Calibri" w:hAnsi="Calibri"/>
                <w:sz w:val="20"/>
                <w:szCs w:val="20"/>
              </w:rPr>
              <w:t>59.072,47</w:t>
            </w:r>
          </w:p>
        </w:tc>
        <w:tc>
          <w:tcPr>
            <w:tcW w:w="1380" w:type="dxa"/>
            <w:tcBorders>
              <w:top w:val="nil"/>
              <w:left w:val="nil"/>
              <w:bottom w:val="single" w:sz="4" w:space="0" w:color="auto"/>
              <w:right w:val="single" w:sz="4" w:space="0" w:color="auto"/>
            </w:tcBorders>
            <w:shd w:val="clear" w:color="auto" w:fill="auto"/>
            <w:noWrap/>
            <w:vAlign w:val="center"/>
            <w:hideMark/>
          </w:tcPr>
          <w:p w14:paraId="1673537D" w14:textId="77777777" w:rsidR="007C74A2" w:rsidRDefault="007C74A2">
            <w:pPr>
              <w:jc w:val="right"/>
              <w:rPr>
                <w:rFonts w:ascii="Calibri" w:hAnsi="Calibri"/>
                <w:sz w:val="20"/>
                <w:szCs w:val="20"/>
              </w:rPr>
            </w:pPr>
            <w:r>
              <w:rPr>
                <w:rFonts w:ascii="Calibri" w:hAnsi="Calibri"/>
                <w:sz w:val="20"/>
                <w:szCs w:val="20"/>
              </w:rPr>
              <w:t>79,03</w:t>
            </w:r>
          </w:p>
        </w:tc>
      </w:tr>
      <w:tr w:rsidR="007C74A2" w:rsidRPr="005D68A8" w14:paraId="73786360"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51F794AE"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Резервисања</w:t>
            </w:r>
          </w:p>
        </w:tc>
        <w:tc>
          <w:tcPr>
            <w:tcW w:w="2120" w:type="dxa"/>
            <w:tcBorders>
              <w:top w:val="nil"/>
              <w:left w:val="nil"/>
              <w:bottom w:val="single" w:sz="4" w:space="0" w:color="auto"/>
              <w:right w:val="single" w:sz="4" w:space="0" w:color="auto"/>
            </w:tcBorders>
            <w:shd w:val="clear" w:color="auto" w:fill="auto"/>
            <w:noWrap/>
            <w:vAlign w:val="center"/>
            <w:hideMark/>
          </w:tcPr>
          <w:p w14:paraId="220FAF07" w14:textId="77777777" w:rsidR="007C74A2" w:rsidRPr="005D68A8" w:rsidRDefault="007C74A2" w:rsidP="005D68A8">
            <w:pPr>
              <w:jc w:val="right"/>
              <w:rPr>
                <w:rFonts w:ascii="Calibri" w:hAnsi="Calibri"/>
                <w:sz w:val="20"/>
                <w:szCs w:val="20"/>
              </w:rPr>
            </w:pPr>
            <w:r w:rsidRPr="005D68A8">
              <w:rPr>
                <w:rFonts w:ascii="Calibri" w:hAnsi="Calibri"/>
                <w:sz w:val="20"/>
                <w:szCs w:val="20"/>
              </w:rPr>
              <w:t>272.051,00</w:t>
            </w:r>
          </w:p>
        </w:tc>
        <w:tc>
          <w:tcPr>
            <w:tcW w:w="2140" w:type="dxa"/>
            <w:tcBorders>
              <w:top w:val="nil"/>
              <w:left w:val="nil"/>
              <w:bottom w:val="single" w:sz="4" w:space="0" w:color="auto"/>
              <w:right w:val="single" w:sz="4" w:space="0" w:color="auto"/>
            </w:tcBorders>
            <w:shd w:val="clear" w:color="auto" w:fill="auto"/>
            <w:noWrap/>
            <w:vAlign w:val="center"/>
            <w:hideMark/>
          </w:tcPr>
          <w:p w14:paraId="4EBA74E3" w14:textId="77777777" w:rsidR="007C74A2" w:rsidRPr="005D68A8" w:rsidRDefault="007C74A2" w:rsidP="005D68A8">
            <w:pPr>
              <w:jc w:val="right"/>
              <w:rPr>
                <w:rFonts w:ascii="Calibri" w:hAnsi="Calibri"/>
                <w:sz w:val="20"/>
                <w:szCs w:val="20"/>
              </w:rPr>
            </w:pPr>
            <w:r w:rsidRPr="005D68A8">
              <w:rPr>
                <w:rFonts w:ascii="Calibri" w:hAnsi="Calibri"/>
                <w:sz w:val="20"/>
                <w:szCs w:val="20"/>
              </w:rPr>
              <w:t>891.448,00</w:t>
            </w:r>
          </w:p>
        </w:tc>
        <w:tc>
          <w:tcPr>
            <w:tcW w:w="1380" w:type="dxa"/>
            <w:tcBorders>
              <w:top w:val="nil"/>
              <w:left w:val="nil"/>
              <w:bottom w:val="single" w:sz="4" w:space="0" w:color="auto"/>
              <w:right w:val="single" w:sz="4" w:space="0" w:color="auto"/>
            </w:tcBorders>
            <w:shd w:val="clear" w:color="auto" w:fill="auto"/>
            <w:noWrap/>
            <w:vAlign w:val="center"/>
            <w:hideMark/>
          </w:tcPr>
          <w:p w14:paraId="6222FE08" w14:textId="77777777" w:rsidR="007C74A2" w:rsidRDefault="007C74A2">
            <w:pPr>
              <w:jc w:val="right"/>
              <w:rPr>
                <w:rFonts w:ascii="Calibri" w:hAnsi="Calibri"/>
                <w:sz w:val="20"/>
                <w:szCs w:val="20"/>
              </w:rPr>
            </w:pPr>
            <w:r>
              <w:rPr>
                <w:rFonts w:ascii="Calibri" w:hAnsi="Calibri"/>
                <w:sz w:val="20"/>
                <w:szCs w:val="20"/>
              </w:rPr>
              <w:t>327,68</w:t>
            </w:r>
          </w:p>
        </w:tc>
      </w:tr>
      <w:tr w:rsidR="007C74A2" w:rsidRPr="005D68A8" w14:paraId="144E22D3"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6C895E59"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PVR u domaćoj valuti</w:t>
            </w:r>
          </w:p>
        </w:tc>
        <w:tc>
          <w:tcPr>
            <w:tcW w:w="2120" w:type="dxa"/>
            <w:tcBorders>
              <w:top w:val="nil"/>
              <w:left w:val="nil"/>
              <w:bottom w:val="single" w:sz="4" w:space="0" w:color="auto"/>
              <w:right w:val="single" w:sz="4" w:space="0" w:color="auto"/>
            </w:tcBorders>
            <w:shd w:val="clear" w:color="auto" w:fill="auto"/>
            <w:noWrap/>
            <w:vAlign w:val="center"/>
            <w:hideMark/>
          </w:tcPr>
          <w:p w14:paraId="6CF55B90" w14:textId="77777777" w:rsidR="007C74A2" w:rsidRPr="005D68A8" w:rsidRDefault="007C74A2" w:rsidP="005D68A8">
            <w:pPr>
              <w:jc w:val="right"/>
              <w:rPr>
                <w:rFonts w:ascii="Calibri" w:hAnsi="Calibri"/>
                <w:sz w:val="20"/>
                <w:szCs w:val="20"/>
              </w:rPr>
            </w:pPr>
            <w:r w:rsidRPr="005D68A8">
              <w:rPr>
                <w:rFonts w:ascii="Calibri" w:hAnsi="Calibri"/>
                <w:sz w:val="20"/>
                <w:szCs w:val="20"/>
              </w:rPr>
              <w:t>182.796,00</w:t>
            </w:r>
          </w:p>
        </w:tc>
        <w:tc>
          <w:tcPr>
            <w:tcW w:w="2140" w:type="dxa"/>
            <w:tcBorders>
              <w:top w:val="nil"/>
              <w:left w:val="nil"/>
              <w:bottom w:val="single" w:sz="4" w:space="0" w:color="auto"/>
              <w:right w:val="single" w:sz="4" w:space="0" w:color="auto"/>
            </w:tcBorders>
            <w:shd w:val="clear" w:color="auto" w:fill="auto"/>
            <w:noWrap/>
            <w:vAlign w:val="center"/>
            <w:hideMark/>
          </w:tcPr>
          <w:p w14:paraId="1BC69E6C" w14:textId="77777777" w:rsidR="007C74A2" w:rsidRPr="005D68A8" w:rsidRDefault="007C74A2" w:rsidP="005D68A8">
            <w:pPr>
              <w:jc w:val="right"/>
              <w:rPr>
                <w:rFonts w:ascii="Calibri" w:hAnsi="Calibri"/>
                <w:sz w:val="20"/>
                <w:szCs w:val="20"/>
              </w:rPr>
            </w:pPr>
            <w:r w:rsidRPr="005D68A8">
              <w:rPr>
                <w:rFonts w:ascii="Calibri" w:hAnsi="Calibri"/>
                <w:sz w:val="20"/>
                <w:szCs w:val="20"/>
              </w:rPr>
              <w:t>187.478,57</w:t>
            </w:r>
          </w:p>
        </w:tc>
        <w:tc>
          <w:tcPr>
            <w:tcW w:w="1380" w:type="dxa"/>
            <w:tcBorders>
              <w:top w:val="nil"/>
              <w:left w:val="nil"/>
              <w:bottom w:val="single" w:sz="4" w:space="0" w:color="auto"/>
              <w:right w:val="single" w:sz="4" w:space="0" w:color="auto"/>
            </w:tcBorders>
            <w:shd w:val="clear" w:color="auto" w:fill="auto"/>
            <w:noWrap/>
            <w:vAlign w:val="center"/>
            <w:hideMark/>
          </w:tcPr>
          <w:p w14:paraId="2DB8597F" w14:textId="77777777" w:rsidR="007C74A2" w:rsidRDefault="007C74A2">
            <w:pPr>
              <w:jc w:val="right"/>
              <w:rPr>
                <w:rFonts w:ascii="Calibri" w:hAnsi="Calibri"/>
                <w:sz w:val="20"/>
                <w:szCs w:val="20"/>
              </w:rPr>
            </w:pPr>
            <w:r>
              <w:rPr>
                <w:rFonts w:ascii="Calibri" w:hAnsi="Calibri"/>
                <w:sz w:val="20"/>
                <w:szCs w:val="20"/>
              </w:rPr>
              <w:t>102,56</w:t>
            </w:r>
          </w:p>
        </w:tc>
      </w:tr>
      <w:tr w:rsidR="007C74A2" w:rsidRPr="005D68A8" w14:paraId="5E9C249E"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49AA949" w14:textId="77777777" w:rsidR="007C74A2" w:rsidRPr="005D68A8" w:rsidRDefault="007C74A2" w:rsidP="005D68A8">
            <w:pPr>
              <w:jc w:val="left"/>
              <w:rPr>
                <w:rFonts w:ascii="Calibri" w:hAnsi="Calibri"/>
                <w:color w:val="auto"/>
                <w:sz w:val="20"/>
                <w:szCs w:val="20"/>
              </w:rPr>
            </w:pPr>
            <w:r w:rsidRPr="005D68A8">
              <w:rPr>
                <w:rFonts w:ascii="Calibri" w:hAnsi="Calibri"/>
                <w:color w:val="auto"/>
                <w:sz w:val="20"/>
                <w:szCs w:val="20"/>
              </w:rPr>
              <w:t xml:space="preserve">Obaveze u stranoj valuti </w:t>
            </w:r>
          </w:p>
        </w:tc>
        <w:tc>
          <w:tcPr>
            <w:tcW w:w="2120" w:type="dxa"/>
            <w:tcBorders>
              <w:top w:val="nil"/>
              <w:left w:val="nil"/>
              <w:bottom w:val="single" w:sz="4" w:space="0" w:color="auto"/>
              <w:right w:val="single" w:sz="4" w:space="0" w:color="auto"/>
            </w:tcBorders>
            <w:shd w:val="clear" w:color="auto" w:fill="auto"/>
            <w:noWrap/>
            <w:vAlign w:val="center"/>
            <w:hideMark/>
          </w:tcPr>
          <w:p w14:paraId="0C5D0494" w14:textId="77777777" w:rsidR="007C74A2" w:rsidRPr="005D68A8" w:rsidRDefault="007C74A2" w:rsidP="005D68A8">
            <w:pPr>
              <w:jc w:val="right"/>
              <w:rPr>
                <w:rFonts w:ascii="Calibri" w:hAnsi="Calibri"/>
                <w:sz w:val="20"/>
                <w:szCs w:val="20"/>
              </w:rPr>
            </w:pPr>
            <w:r w:rsidRPr="005D68A8">
              <w:rPr>
                <w:rFonts w:ascii="Calibri" w:hAnsi="Calibri"/>
                <w:sz w:val="20"/>
                <w:szCs w:val="20"/>
              </w:rPr>
              <w:t>0,00</w:t>
            </w:r>
          </w:p>
        </w:tc>
        <w:tc>
          <w:tcPr>
            <w:tcW w:w="2140" w:type="dxa"/>
            <w:tcBorders>
              <w:top w:val="nil"/>
              <w:left w:val="nil"/>
              <w:bottom w:val="single" w:sz="4" w:space="0" w:color="auto"/>
              <w:right w:val="single" w:sz="4" w:space="0" w:color="auto"/>
            </w:tcBorders>
            <w:shd w:val="clear" w:color="auto" w:fill="auto"/>
            <w:noWrap/>
            <w:vAlign w:val="center"/>
            <w:hideMark/>
          </w:tcPr>
          <w:p w14:paraId="678557F0" w14:textId="77777777" w:rsidR="007C74A2" w:rsidRPr="005D68A8" w:rsidRDefault="007C74A2" w:rsidP="005D68A8">
            <w:pPr>
              <w:jc w:val="right"/>
              <w:rPr>
                <w:rFonts w:ascii="Calibri" w:hAnsi="Calibri"/>
                <w:sz w:val="20"/>
                <w:szCs w:val="20"/>
              </w:rPr>
            </w:pPr>
            <w:r w:rsidRPr="005D68A8">
              <w:rPr>
                <w:rFonts w:ascii="Calibri" w:hAnsi="Calibri"/>
                <w:sz w:val="20"/>
                <w:szCs w:val="20"/>
              </w:rPr>
              <w:t>10.759,02</w:t>
            </w:r>
          </w:p>
        </w:tc>
        <w:tc>
          <w:tcPr>
            <w:tcW w:w="1380" w:type="dxa"/>
            <w:tcBorders>
              <w:top w:val="nil"/>
              <w:left w:val="nil"/>
              <w:bottom w:val="single" w:sz="4" w:space="0" w:color="auto"/>
              <w:right w:val="single" w:sz="4" w:space="0" w:color="auto"/>
            </w:tcBorders>
            <w:shd w:val="clear" w:color="auto" w:fill="auto"/>
            <w:noWrap/>
            <w:vAlign w:val="center"/>
            <w:hideMark/>
          </w:tcPr>
          <w:p w14:paraId="018B788B" w14:textId="77777777" w:rsidR="007C74A2" w:rsidRDefault="007C74A2">
            <w:pPr>
              <w:jc w:val="right"/>
              <w:rPr>
                <w:rFonts w:ascii="Calibri" w:hAnsi="Calibri"/>
                <w:sz w:val="20"/>
                <w:szCs w:val="20"/>
              </w:rPr>
            </w:pPr>
            <w:r>
              <w:rPr>
                <w:rFonts w:ascii="Calibri" w:hAnsi="Calibri"/>
                <w:sz w:val="20"/>
                <w:szCs w:val="20"/>
              </w:rPr>
              <w:t> </w:t>
            </w:r>
          </w:p>
        </w:tc>
      </w:tr>
      <w:tr w:rsidR="007C74A2" w:rsidRPr="005D68A8" w14:paraId="10FE8DE6"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C5D9F1"/>
            <w:vAlign w:val="center"/>
            <w:hideMark/>
          </w:tcPr>
          <w:p w14:paraId="27359D1D" w14:textId="12D16844" w:rsidR="007C74A2" w:rsidRPr="005D68A8" w:rsidRDefault="007C74A2" w:rsidP="005D68A8">
            <w:pPr>
              <w:jc w:val="left"/>
              <w:rPr>
                <w:rFonts w:ascii="Calibri" w:hAnsi="Calibri"/>
                <w:b/>
                <w:bCs/>
                <w:color w:val="auto"/>
                <w:sz w:val="20"/>
                <w:szCs w:val="20"/>
              </w:rPr>
            </w:pPr>
            <w:r w:rsidRPr="005D68A8">
              <w:rPr>
                <w:rFonts w:ascii="Calibri" w:hAnsi="Calibri"/>
                <w:b/>
                <w:bCs/>
                <w:color w:val="auto"/>
                <w:sz w:val="20"/>
                <w:szCs w:val="20"/>
              </w:rPr>
              <w:t>U</w:t>
            </w:r>
            <w:r w:rsidR="005D0F9B">
              <w:rPr>
                <w:rFonts w:ascii="Calibri" w:hAnsi="Calibri"/>
                <w:b/>
                <w:bCs/>
                <w:color w:val="auto"/>
                <w:sz w:val="20"/>
                <w:szCs w:val="20"/>
              </w:rPr>
              <w:t>kupno kapital</w:t>
            </w:r>
          </w:p>
        </w:tc>
        <w:tc>
          <w:tcPr>
            <w:tcW w:w="2120" w:type="dxa"/>
            <w:tcBorders>
              <w:top w:val="nil"/>
              <w:left w:val="nil"/>
              <w:bottom w:val="single" w:sz="4" w:space="0" w:color="auto"/>
              <w:right w:val="single" w:sz="4" w:space="0" w:color="auto"/>
            </w:tcBorders>
            <w:shd w:val="clear" w:color="000000" w:fill="C5D9F1"/>
            <w:noWrap/>
            <w:vAlign w:val="center"/>
            <w:hideMark/>
          </w:tcPr>
          <w:p w14:paraId="4ED92D10"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19.615.088,00</w:t>
            </w:r>
          </w:p>
        </w:tc>
        <w:tc>
          <w:tcPr>
            <w:tcW w:w="2140" w:type="dxa"/>
            <w:tcBorders>
              <w:top w:val="nil"/>
              <w:left w:val="nil"/>
              <w:bottom w:val="single" w:sz="4" w:space="0" w:color="auto"/>
              <w:right w:val="single" w:sz="4" w:space="0" w:color="auto"/>
            </w:tcBorders>
            <w:shd w:val="clear" w:color="000000" w:fill="C5D9F1"/>
            <w:noWrap/>
            <w:vAlign w:val="center"/>
            <w:hideMark/>
          </w:tcPr>
          <w:p w14:paraId="7CA29C3F"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17.829.389,00</w:t>
            </w:r>
          </w:p>
        </w:tc>
        <w:tc>
          <w:tcPr>
            <w:tcW w:w="1380" w:type="dxa"/>
            <w:tcBorders>
              <w:top w:val="nil"/>
              <w:left w:val="nil"/>
              <w:bottom w:val="single" w:sz="4" w:space="0" w:color="auto"/>
              <w:right w:val="single" w:sz="4" w:space="0" w:color="auto"/>
            </w:tcBorders>
            <w:shd w:val="clear" w:color="000000" w:fill="C5D9F1"/>
            <w:noWrap/>
            <w:vAlign w:val="center"/>
            <w:hideMark/>
          </w:tcPr>
          <w:p w14:paraId="05510A23" w14:textId="77777777" w:rsidR="007C74A2" w:rsidRDefault="007C74A2">
            <w:pPr>
              <w:jc w:val="right"/>
              <w:rPr>
                <w:rFonts w:ascii="Calibri" w:hAnsi="Calibri"/>
                <w:b/>
                <w:bCs/>
                <w:sz w:val="20"/>
                <w:szCs w:val="20"/>
              </w:rPr>
            </w:pPr>
            <w:r>
              <w:rPr>
                <w:rFonts w:ascii="Calibri" w:hAnsi="Calibri"/>
                <w:b/>
                <w:bCs/>
                <w:sz w:val="20"/>
                <w:szCs w:val="20"/>
              </w:rPr>
              <w:t>90,90</w:t>
            </w:r>
          </w:p>
        </w:tc>
      </w:tr>
      <w:tr w:rsidR="007C74A2" w:rsidRPr="005D68A8" w14:paraId="769F2E39"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0967857" w14:textId="3FEB010D" w:rsidR="007C74A2" w:rsidRPr="005D68A8" w:rsidRDefault="005D0F9B" w:rsidP="005D68A8">
            <w:pPr>
              <w:jc w:val="left"/>
              <w:rPr>
                <w:rFonts w:ascii="Calibri" w:hAnsi="Calibri"/>
                <w:sz w:val="20"/>
                <w:szCs w:val="20"/>
              </w:rPr>
            </w:pPr>
            <w:r>
              <w:rPr>
                <w:rFonts w:ascii="Calibri" w:hAnsi="Calibri"/>
                <w:sz w:val="20"/>
                <w:szCs w:val="20"/>
              </w:rPr>
              <w:t>Akcijski kapital</w:t>
            </w:r>
          </w:p>
        </w:tc>
        <w:tc>
          <w:tcPr>
            <w:tcW w:w="2120" w:type="dxa"/>
            <w:tcBorders>
              <w:top w:val="nil"/>
              <w:left w:val="nil"/>
              <w:bottom w:val="single" w:sz="4" w:space="0" w:color="auto"/>
              <w:right w:val="single" w:sz="4" w:space="0" w:color="auto"/>
            </w:tcBorders>
            <w:shd w:val="clear" w:color="auto" w:fill="auto"/>
            <w:noWrap/>
            <w:vAlign w:val="center"/>
            <w:hideMark/>
          </w:tcPr>
          <w:p w14:paraId="77935587" w14:textId="77777777" w:rsidR="007C74A2" w:rsidRPr="005D68A8" w:rsidRDefault="007C74A2" w:rsidP="005D68A8">
            <w:pPr>
              <w:jc w:val="right"/>
              <w:rPr>
                <w:rFonts w:ascii="Calibri" w:hAnsi="Calibri"/>
                <w:sz w:val="20"/>
                <w:szCs w:val="20"/>
              </w:rPr>
            </w:pPr>
            <w:r w:rsidRPr="005D68A8">
              <w:rPr>
                <w:rFonts w:ascii="Calibri" w:hAnsi="Calibri"/>
                <w:sz w:val="20"/>
                <w:szCs w:val="20"/>
              </w:rPr>
              <w:t>30.000.000,00</w:t>
            </w:r>
          </w:p>
        </w:tc>
        <w:tc>
          <w:tcPr>
            <w:tcW w:w="2140" w:type="dxa"/>
            <w:tcBorders>
              <w:top w:val="nil"/>
              <w:left w:val="nil"/>
              <w:bottom w:val="single" w:sz="4" w:space="0" w:color="auto"/>
              <w:right w:val="single" w:sz="4" w:space="0" w:color="auto"/>
            </w:tcBorders>
            <w:shd w:val="clear" w:color="auto" w:fill="auto"/>
            <w:noWrap/>
            <w:vAlign w:val="center"/>
            <w:hideMark/>
          </w:tcPr>
          <w:p w14:paraId="6A451786" w14:textId="77777777" w:rsidR="007C74A2" w:rsidRPr="005D68A8" w:rsidRDefault="007C74A2" w:rsidP="005D68A8">
            <w:pPr>
              <w:jc w:val="right"/>
              <w:rPr>
                <w:rFonts w:ascii="Calibri" w:hAnsi="Calibri"/>
                <w:sz w:val="20"/>
                <w:szCs w:val="20"/>
              </w:rPr>
            </w:pPr>
            <w:r w:rsidRPr="005D68A8">
              <w:rPr>
                <w:rFonts w:ascii="Calibri" w:hAnsi="Calibri"/>
                <w:sz w:val="20"/>
                <w:szCs w:val="20"/>
              </w:rPr>
              <w:t>30.000.000,00</w:t>
            </w:r>
          </w:p>
        </w:tc>
        <w:tc>
          <w:tcPr>
            <w:tcW w:w="1380" w:type="dxa"/>
            <w:tcBorders>
              <w:top w:val="nil"/>
              <w:left w:val="nil"/>
              <w:bottom w:val="single" w:sz="4" w:space="0" w:color="auto"/>
              <w:right w:val="single" w:sz="4" w:space="0" w:color="auto"/>
            </w:tcBorders>
            <w:shd w:val="clear" w:color="auto" w:fill="auto"/>
            <w:noWrap/>
            <w:vAlign w:val="center"/>
            <w:hideMark/>
          </w:tcPr>
          <w:p w14:paraId="77A456B4" w14:textId="77777777" w:rsidR="007C74A2" w:rsidRDefault="007C74A2">
            <w:pPr>
              <w:jc w:val="right"/>
              <w:rPr>
                <w:rFonts w:ascii="Calibri" w:hAnsi="Calibri"/>
                <w:sz w:val="20"/>
                <w:szCs w:val="20"/>
              </w:rPr>
            </w:pPr>
            <w:r>
              <w:rPr>
                <w:rFonts w:ascii="Calibri" w:hAnsi="Calibri"/>
                <w:sz w:val="20"/>
                <w:szCs w:val="20"/>
              </w:rPr>
              <w:t>100,00</w:t>
            </w:r>
          </w:p>
        </w:tc>
      </w:tr>
      <w:tr w:rsidR="007C74A2" w:rsidRPr="005D68A8" w14:paraId="3385605C"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53BD4435" w14:textId="77777777" w:rsidR="007C74A2" w:rsidRPr="005D68A8" w:rsidRDefault="007C74A2" w:rsidP="005D68A8">
            <w:pPr>
              <w:jc w:val="left"/>
              <w:rPr>
                <w:rFonts w:ascii="Calibri" w:hAnsi="Calibri"/>
                <w:sz w:val="20"/>
                <w:szCs w:val="20"/>
              </w:rPr>
            </w:pPr>
            <w:r w:rsidRPr="005D68A8">
              <w:rPr>
                <w:rFonts w:ascii="Calibri" w:hAnsi="Calibri"/>
                <w:sz w:val="20"/>
                <w:szCs w:val="20"/>
              </w:rPr>
              <w:t>Gubitak iz ranijih godina</w:t>
            </w:r>
          </w:p>
        </w:tc>
        <w:tc>
          <w:tcPr>
            <w:tcW w:w="2120" w:type="dxa"/>
            <w:tcBorders>
              <w:top w:val="nil"/>
              <w:left w:val="nil"/>
              <w:bottom w:val="single" w:sz="4" w:space="0" w:color="auto"/>
              <w:right w:val="single" w:sz="4" w:space="0" w:color="auto"/>
            </w:tcBorders>
            <w:shd w:val="clear" w:color="auto" w:fill="auto"/>
            <w:noWrap/>
            <w:vAlign w:val="center"/>
            <w:hideMark/>
          </w:tcPr>
          <w:p w14:paraId="1EEE76B4" w14:textId="77777777" w:rsidR="007C74A2" w:rsidRPr="005D68A8" w:rsidRDefault="007C74A2" w:rsidP="005D68A8">
            <w:pPr>
              <w:jc w:val="right"/>
              <w:rPr>
                <w:rFonts w:ascii="Calibri" w:hAnsi="Calibri"/>
                <w:sz w:val="20"/>
                <w:szCs w:val="20"/>
              </w:rPr>
            </w:pPr>
            <w:r w:rsidRPr="005D68A8">
              <w:rPr>
                <w:rFonts w:ascii="Calibri" w:hAnsi="Calibri"/>
                <w:sz w:val="20"/>
                <w:szCs w:val="20"/>
              </w:rPr>
              <w:t>-10.385.781,00</w:t>
            </w:r>
          </w:p>
        </w:tc>
        <w:tc>
          <w:tcPr>
            <w:tcW w:w="2140" w:type="dxa"/>
            <w:tcBorders>
              <w:top w:val="nil"/>
              <w:left w:val="nil"/>
              <w:bottom w:val="single" w:sz="4" w:space="0" w:color="auto"/>
              <w:right w:val="single" w:sz="4" w:space="0" w:color="auto"/>
            </w:tcBorders>
            <w:shd w:val="clear" w:color="auto" w:fill="auto"/>
            <w:noWrap/>
            <w:vAlign w:val="center"/>
            <w:hideMark/>
          </w:tcPr>
          <w:p w14:paraId="3D4C9BE0" w14:textId="77777777" w:rsidR="007C74A2" w:rsidRPr="005D68A8" w:rsidRDefault="007C74A2" w:rsidP="005D68A8">
            <w:pPr>
              <w:jc w:val="right"/>
              <w:rPr>
                <w:rFonts w:ascii="Calibri" w:hAnsi="Calibri"/>
                <w:sz w:val="20"/>
                <w:szCs w:val="20"/>
              </w:rPr>
            </w:pPr>
            <w:r w:rsidRPr="005D68A8">
              <w:rPr>
                <w:rFonts w:ascii="Calibri" w:hAnsi="Calibri"/>
                <w:sz w:val="20"/>
                <w:szCs w:val="20"/>
              </w:rPr>
              <w:t>-10.384.912,00</w:t>
            </w:r>
          </w:p>
        </w:tc>
        <w:tc>
          <w:tcPr>
            <w:tcW w:w="1380" w:type="dxa"/>
            <w:tcBorders>
              <w:top w:val="nil"/>
              <w:left w:val="nil"/>
              <w:bottom w:val="single" w:sz="4" w:space="0" w:color="auto"/>
              <w:right w:val="single" w:sz="4" w:space="0" w:color="auto"/>
            </w:tcBorders>
            <w:shd w:val="clear" w:color="auto" w:fill="auto"/>
            <w:noWrap/>
            <w:vAlign w:val="center"/>
            <w:hideMark/>
          </w:tcPr>
          <w:p w14:paraId="3F04BAF7" w14:textId="77777777" w:rsidR="007C74A2" w:rsidRDefault="007C74A2">
            <w:pPr>
              <w:jc w:val="right"/>
              <w:rPr>
                <w:rFonts w:ascii="Calibri" w:hAnsi="Calibri"/>
                <w:sz w:val="20"/>
                <w:szCs w:val="20"/>
              </w:rPr>
            </w:pPr>
            <w:r>
              <w:rPr>
                <w:rFonts w:ascii="Calibri" w:hAnsi="Calibri"/>
                <w:sz w:val="20"/>
                <w:szCs w:val="20"/>
              </w:rPr>
              <w:t>99,99</w:t>
            </w:r>
          </w:p>
        </w:tc>
      </w:tr>
      <w:tr w:rsidR="007C74A2" w:rsidRPr="005D68A8" w14:paraId="0BFB4909"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1ECE7FF7" w14:textId="77777777" w:rsidR="007C74A2" w:rsidRPr="005D68A8" w:rsidRDefault="007C74A2" w:rsidP="005D68A8">
            <w:pPr>
              <w:jc w:val="left"/>
              <w:rPr>
                <w:rFonts w:ascii="Calibri" w:hAnsi="Calibri"/>
                <w:sz w:val="20"/>
                <w:szCs w:val="20"/>
              </w:rPr>
            </w:pPr>
            <w:r w:rsidRPr="005D68A8">
              <w:rPr>
                <w:rFonts w:ascii="Calibri" w:hAnsi="Calibri"/>
                <w:sz w:val="20"/>
                <w:szCs w:val="20"/>
              </w:rPr>
              <w:t>Dobit /gubitak tekuće godine</w:t>
            </w:r>
          </w:p>
        </w:tc>
        <w:tc>
          <w:tcPr>
            <w:tcW w:w="2120" w:type="dxa"/>
            <w:tcBorders>
              <w:top w:val="nil"/>
              <w:left w:val="nil"/>
              <w:bottom w:val="single" w:sz="4" w:space="0" w:color="auto"/>
              <w:right w:val="single" w:sz="4" w:space="0" w:color="auto"/>
            </w:tcBorders>
            <w:shd w:val="clear" w:color="auto" w:fill="auto"/>
            <w:noWrap/>
            <w:vAlign w:val="center"/>
            <w:hideMark/>
          </w:tcPr>
          <w:p w14:paraId="730FF8B3"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869</w:t>
            </w:r>
          </w:p>
        </w:tc>
        <w:tc>
          <w:tcPr>
            <w:tcW w:w="2140" w:type="dxa"/>
            <w:tcBorders>
              <w:top w:val="nil"/>
              <w:left w:val="nil"/>
              <w:bottom w:val="single" w:sz="4" w:space="0" w:color="auto"/>
              <w:right w:val="single" w:sz="4" w:space="0" w:color="auto"/>
            </w:tcBorders>
            <w:shd w:val="clear" w:color="auto" w:fill="auto"/>
            <w:noWrap/>
            <w:vAlign w:val="center"/>
            <w:hideMark/>
          </w:tcPr>
          <w:p w14:paraId="46C4E04A" w14:textId="77777777" w:rsidR="007C74A2" w:rsidRPr="005D68A8" w:rsidRDefault="007C74A2" w:rsidP="005D68A8">
            <w:pPr>
              <w:jc w:val="right"/>
              <w:rPr>
                <w:rFonts w:ascii="Calibri" w:hAnsi="Calibri"/>
                <w:color w:val="auto"/>
                <w:sz w:val="20"/>
                <w:szCs w:val="20"/>
              </w:rPr>
            </w:pPr>
            <w:r w:rsidRPr="005D68A8">
              <w:rPr>
                <w:rFonts w:ascii="Calibri" w:hAnsi="Calibri"/>
                <w:color w:val="auto"/>
                <w:sz w:val="20"/>
                <w:szCs w:val="20"/>
              </w:rPr>
              <w:t>-1.785.699,00</w:t>
            </w:r>
          </w:p>
        </w:tc>
        <w:tc>
          <w:tcPr>
            <w:tcW w:w="1380" w:type="dxa"/>
            <w:tcBorders>
              <w:top w:val="nil"/>
              <w:left w:val="nil"/>
              <w:bottom w:val="single" w:sz="4" w:space="0" w:color="auto"/>
              <w:right w:val="single" w:sz="4" w:space="0" w:color="auto"/>
            </w:tcBorders>
            <w:shd w:val="clear" w:color="auto" w:fill="auto"/>
            <w:noWrap/>
            <w:vAlign w:val="center"/>
            <w:hideMark/>
          </w:tcPr>
          <w:p w14:paraId="09DD5B11" w14:textId="77777777" w:rsidR="007C74A2" w:rsidRDefault="007C74A2">
            <w:pPr>
              <w:jc w:val="right"/>
              <w:rPr>
                <w:rFonts w:ascii="Calibri" w:hAnsi="Calibri"/>
                <w:sz w:val="20"/>
                <w:szCs w:val="20"/>
              </w:rPr>
            </w:pPr>
            <w:r>
              <w:rPr>
                <w:rFonts w:ascii="Calibri" w:hAnsi="Calibri"/>
                <w:sz w:val="20"/>
                <w:szCs w:val="20"/>
              </w:rPr>
              <w:t> </w:t>
            </w:r>
          </w:p>
        </w:tc>
      </w:tr>
      <w:tr w:rsidR="007C74A2" w:rsidRPr="005D68A8" w14:paraId="2952CFA1"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422D980A" w14:textId="1643B710" w:rsidR="007C74A2" w:rsidRPr="005D68A8" w:rsidRDefault="005D0F9B" w:rsidP="005D68A8">
            <w:pPr>
              <w:jc w:val="left"/>
              <w:rPr>
                <w:rFonts w:ascii="Calibri" w:hAnsi="Calibri"/>
                <w:b/>
                <w:bCs/>
                <w:sz w:val="20"/>
                <w:szCs w:val="20"/>
              </w:rPr>
            </w:pPr>
            <w:r>
              <w:rPr>
                <w:rFonts w:ascii="Calibri" w:hAnsi="Calibri"/>
                <w:b/>
                <w:bCs/>
                <w:sz w:val="20"/>
                <w:szCs w:val="20"/>
              </w:rPr>
              <w:t>POSLOVNA PASIVA</w:t>
            </w:r>
          </w:p>
        </w:tc>
        <w:tc>
          <w:tcPr>
            <w:tcW w:w="2120" w:type="dxa"/>
            <w:tcBorders>
              <w:top w:val="nil"/>
              <w:left w:val="nil"/>
              <w:bottom w:val="single" w:sz="4" w:space="0" w:color="auto"/>
              <w:right w:val="single" w:sz="4" w:space="0" w:color="auto"/>
            </w:tcBorders>
            <w:shd w:val="clear" w:color="auto" w:fill="auto"/>
            <w:noWrap/>
            <w:vAlign w:val="center"/>
            <w:hideMark/>
          </w:tcPr>
          <w:p w14:paraId="6A2E9331"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20.241.193,00</w:t>
            </w:r>
          </w:p>
        </w:tc>
        <w:tc>
          <w:tcPr>
            <w:tcW w:w="2140" w:type="dxa"/>
            <w:tcBorders>
              <w:top w:val="nil"/>
              <w:left w:val="nil"/>
              <w:bottom w:val="single" w:sz="4" w:space="0" w:color="auto"/>
              <w:right w:val="single" w:sz="4" w:space="0" w:color="auto"/>
            </w:tcBorders>
            <w:shd w:val="clear" w:color="auto" w:fill="auto"/>
            <w:noWrap/>
            <w:vAlign w:val="center"/>
            <w:hideMark/>
          </w:tcPr>
          <w:p w14:paraId="17D1BDA8"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20.879.630,61</w:t>
            </w:r>
          </w:p>
        </w:tc>
        <w:tc>
          <w:tcPr>
            <w:tcW w:w="1380" w:type="dxa"/>
            <w:tcBorders>
              <w:top w:val="nil"/>
              <w:left w:val="nil"/>
              <w:bottom w:val="single" w:sz="4" w:space="0" w:color="auto"/>
              <w:right w:val="single" w:sz="4" w:space="0" w:color="auto"/>
            </w:tcBorders>
            <w:shd w:val="clear" w:color="auto" w:fill="auto"/>
            <w:noWrap/>
            <w:vAlign w:val="center"/>
            <w:hideMark/>
          </w:tcPr>
          <w:p w14:paraId="64659D5C" w14:textId="77777777" w:rsidR="007C74A2" w:rsidRDefault="007C74A2">
            <w:pPr>
              <w:jc w:val="right"/>
              <w:rPr>
                <w:rFonts w:ascii="Calibri" w:hAnsi="Calibri"/>
                <w:sz w:val="20"/>
                <w:szCs w:val="20"/>
              </w:rPr>
            </w:pPr>
            <w:r>
              <w:rPr>
                <w:rFonts w:ascii="Calibri" w:hAnsi="Calibri"/>
                <w:sz w:val="20"/>
                <w:szCs w:val="20"/>
              </w:rPr>
              <w:t>103,15</w:t>
            </w:r>
          </w:p>
        </w:tc>
      </w:tr>
      <w:tr w:rsidR="007C74A2" w:rsidRPr="005D68A8" w14:paraId="6A7BFEF2" w14:textId="77777777" w:rsidTr="005D68A8">
        <w:trPr>
          <w:trHeight w:val="315"/>
        </w:trPr>
        <w:tc>
          <w:tcPr>
            <w:tcW w:w="3160" w:type="dxa"/>
            <w:tcBorders>
              <w:top w:val="nil"/>
              <w:left w:val="single" w:sz="4" w:space="0" w:color="auto"/>
              <w:bottom w:val="single" w:sz="4" w:space="0" w:color="auto"/>
              <w:right w:val="single" w:sz="4" w:space="0" w:color="auto"/>
            </w:tcBorders>
            <w:shd w:val="clear" w:color="auto" w:fill="auto"/>
            <w:vAlign w:val="center"/>
            <w:hideMark/>
          </w:tcPr>
          <w:p w14:paraId="68F41AF8" w14:textId="281A6508" w:rsidR="007C74A2" w:rsidRPr="005D68A8" w:rsidRDefault="005D0F9B" w:rsidP="005D68A8">
            <w:pPr>
              <w:jc w:val="left"/>
              <w:rPr>
                <w:rFonts w:ascii="Calibri" w:hAnsi="Calibri"/>
                <w:b/>
                <w:bCs/>
                <w:sz w:val="20"/>
                <w:szCs w:val="20"/>
              </w:rPr>
            </w:pPr>
            <w:r>
              <w:rPr>
                <w:rFonts w:ascii="Calibri" w:hAnsi="Calibri"/>
                <w:b/>
                <w:bCs/>
                <w:sz w:val="20"/>
                <w:szCs w:val="20"/>
              </w:rPr>
              <w:t xml:space="preserve">VANBILANSNA PASIVA </w:t>
            </w:r>
          </w:p>
        </w:tc>
        <w:tc>
          <w:tcPr>
            <w:tcW w:w="2120" w:type="dxa"/>
            <w:tcBorders>
              <w:top w:val="nil"/>
              <w:left w:val="nil"/>
              <w:bottom w:val="single" w:sz="4" w:space="0" w:color="auto"/>
              <w:right w:val="single" w:sz="4" w:space="0" w:color="auto"/>
            </w:tcBorders>
            <w:shd w:val="clear" w:color="auto" w:fill="auto"/>
            <w:noWrap/>
            <w:vAlign w:val="center"/>
            <w:hideMark/>
          </w:tcPr>
          <w:p w14:paraId="77BB80DF"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42.519.116,00</w:t>
            </w:r>
          </w:p>
        </w:tc>
        <w:tc>
          <w:tcPr>
            <w:tcW w:w="2140" w:type="dxa"/>
            <w:tcBorders>
              <w:top w:val="nil"/>
              <w:left w:val="nil"/>
              <w:bottom w:val="single" w:sz="4" w:space="0" w:color="auto"/>
              <w:right w:val="single" w:sz="4" w:space="0" w:color="auto"/>
            </w:tcBorders>
            <w:shd w:val="clear" w:color="auto" w:fill="auto"/>
            <w:noWrap/>
            <w:vAlign w:val="center"/>
            <w:hideMark/>
          </w:tcPr>
          <w:p w14:paraId="6F4BD09D"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53.569.487,72</w:t>
            </w:r>
          </w:p>
        </w:tc>
        <w:tc>
          <w:tcPr>
            <w:tcW w:w="1380" w:type="dxa"/>
            <w:tcBorders>
              <w:top w:val="nil"/>
              <w:left w:val="nil"/>
              <w:bottom w:val="single" w:sz="4" w:space="0" w:color="auto"/>
              <w:right w:val="single" w:sz="4" w:space="0" w:color="auto"/>
            </w:tcBorders>
            <w:shd w:val="clear" w:color="auto" w:fill="auto"/>
            <w:noWrap/>
            <w:vAlign w:val="center"/>
            <w:hideMark/>
          </w:tcPr>
          <w:p w14:paraId="4A8EFC90" w14:textId="77777777" w:rsidR="007C74A2" w:rsidRDefault="007C74A2">
            <w:pPr>
              <w:jc w:val="right"/>
              <w:rPr>
                <w:rFonts w:ascii="Calibri" w:hAnsi="Calibri"/>
                <w:sz w:val="20"/>
                <w:szCs w:val="20"/>
              </w:rPr>
            </w:pPr>
            <w:r>
              <w:rPr>
                <w:rFonts w:ascii="Calibri" w:hAnsi="Calibri"/>
                <w:sz w:val="20"/>
                <w:szCs w:val="20"/>
              </w:rPr>
              <w:t>125,99</w:t>
            </w:r>
          </w:p>
        </w:tc>
      </w:tr>
      <w:tr w:rsidR="007C74A2" w:rsidRPr="005D68A8" w14:paraId="04E9E920" w14:textId="77777777" w:rsidTr="005D68A8">
        <w:trPr>
          <w:trHeight w:val="315"/>
        </w:trPr>
        <w:tc>
          <w:tcPr>
            <w:tcW w:w="3160" w:type="dxa"/>
            <w:tcBorders>
              <w:top w:val="nil"/>
              <w:left w:val="single" w:sz="4" w:space="0" w:color="auto"/>
              <w:bottom w:val="single" w:sz="4" w:space="0" w:color="auto"/>
              <w:right w:val="single" w:sz="4" w:space="0" w:color="auto"/>
            </w:tcBorders>
            <w:shd w:val="clear" w:color="000000" w:fill="8DB3E2"/>
            <w:vAlign w:val="center"/>
            <w:hideMark/>
          </w:tcPr>
          <w:p w14:paraId="31F07390" w14:textId="62836141" w:rsidR="007C74A2" w:rsidRPr="005D68A8" w:rsidRDefault="005D0F9B" w:rsidP="005D68A8">
            <w:pPr>
              <w:jc w:val="left"/>
              <w:rPr>
                <w:rFonts w:ascii="Calibri" w:hAnsi="Calibri"/>
                <w:b/>
                <w:bCs/>
                <w:sz w:val="20"/>
                <w:szCs w:val="20"/>
              </w:rPr>
            </w:pPr>
            <w:r>
              <w:rPr>
                <w:rFonts w:ascii="Calibri" w:hAnsi="Calibri"/>
                <w:b/>
                <w:bCs/>
                <w:sz w:val="20"/>
                <w:szCs w:val="20"/>
              </w:rPr>
              <w:t>UKUPNA PASIVA</w:t>
            </w:r>
          </w:p>
        </w:tc>
        <w:tc>
          <w:tcPr>
            <w:tcW w:w="2120" w:type="dxa"/>
            <w:tcBorders>
              <w:top w:val="nil"/>
              <w:left w:val="nil"/>
              <w:bottom w:val="single" w:sz="4" w:space="0" w:color="auto"/>
              <w:right w:val="single" w:sz="4" w:space="0" w:color="auto"/>
            </w:tcBorders>
            <w:shd w:val="clear" w:color="000000" w:fill="8DB3E2"/>
            <w:noWrap/>
            <w:vAlign w:val="center"/>
            <w:hideMark/>
          </w:tcPr>
          <w:p w14:paraId="708E397F"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62.760.309,00</w:t>
            </w:r>
          </w:p>
        </w:tc>
        <w:tc>
          <w:tcPr>
            <w:tcW w:w="2140" w:type="dxa"/>
            <w:tcBorders>
              <w:top w:val="nil"/>
              <w:left w:val="nil"/>
              <w:bottom w:val="single" w:sz="4" w:space="0" w:color="auto"/>
              <w:right w:val="single" w:sz="4" w:space="0" w:color="auto"/>
            </w:tcBorders>
            <w:shd w:val="clear" w:color="000000" w:fill="8DB3E2"/>
            <w:noWrap/>
            <w:vAlign w:val="center"/>
            <w:hideMark/>
          </w:tcPr>
          <w:p w14:paraId="1B40A357" w14:textId="77777777" w:rsidR="007C74A2" w:rsidRPr="005D68A8" w:rsidRDefault="007C74A2" w:rsidP="005D68A8">
            <w:pPr>
              <w:jc w:val="right"/>
              <w:rPr>
                <w:rFonts w:ascii="Calibri" w:hAnsi="Calibri"/>
                <w:b/>
                <w:bCs/>
                <w:sz w:val="20"/>
                <w:szCs w:val="20"/>
              </w:rPr>
            </w:pPr>
            <w:r w:rsidRPr="005D68A8">
              <w:rPr>
                <w:rFonts w:ascii="Calibri" w:hAnsi="Calibri"/>
                <w:b/>
                <w:bCs/>
                <w:sz w:val="20"/>
                <w:szCs w:val="20"/>
              </w:rPr>
              <w:t>74.449.118,33</w:t>
            </w:r>
          </w:p>
        </w:tc>
        <w:tc>
          <w:tcPr>
            <w:tcW w:w="1380" w:type="dxa"/>
            <w:tcBorders>
              <w:top w:val="nil"/>
              <w:left w:val="nil"/>
              <w:bottom w:val="single" w:sz="4" w:space="0" w:color="auto"/>
              <w:right w:val="single" w:sz="4" w:space="0" w:color="auto"/>
            </w:tcBorders>
            <w:shd w:val="clear" w:color="000000" w:fill="8DB4E2"/>
            <w:noWrap/>
            <w:vAlign w:val="center"/>
            <w:hideMark/>
          </w:tcPr>
          <w:p w14:paraId="19C71128" w14:textId="77777777" w:rsidR="007C74A2" w:rsidRDefault="007C74A2">
            <w:pPr>
              <w:jc w:val="right"/>
              <w:rPr>
                <w:rFonts w:ascii="Calibri" w:hAnsi="Calibri"/>
                <w:b/>
                <w:bCs/>
                <w:sz w:val="20"/>
                <w:szCs w:val="20"/>
              </w:rPr>
            </w:pPr>
            <w:r>
              <w:rPr>
                <w:rFonts w:ascii="Calibri" w:hAnsi="Calibri"/>
                <w:b/>
                <w:bCs/>
                <w:sz w:val="20"/>
                <w:szCs w:val="20"/>
              </w:rPr>
              <w:t>118,62</w:t>
            </w:r>
          </w:p>
        </w:tc>
      </w:tr>
    </w:tbl>
    <w:p w14:paraId="1CA12FF1" w14:textId="77777777" w:rsidR="001538EF" w:rsidRPr="005767EF" w:rsidRDefault="001538EF" w:rsidP="001538EF">
      <w:pPr>
        <w:jc w:val="left"/>
        <w:rPr>
          <w:rFonts w:asciiTheme="minorHAnsi" w:hAnsiTheme="minorHAnsi"/>
          <w:b/>
          <w:sz w:val="20"/>
          <w:szCs w:val="20"/>
          <w:lang w:val="sr-Cyrl-CS" w:eastAsia="sr-Cyrl-CS"/>
        </w:rPr>
      </w:pPr>
    </w:p>
    <w:p w14:paraId="6EB8F6AE" w14:textId="77777777" w:rsidR="00AC030A" w:rsidRDefault="00AC030A" w:rsidP="001538EF">
      <w:pPr>
        <w:rPr>
          <w:rFonts w:asciiTheme="minorHAnsi" w:hAnsiTheme="minorHAnsi"/>
          <w:color w:val="auto"/>
          <w:sz w:val="20"/>
          <w:szCs w:val="20"/>
          <w:lang w:val="sr-Cyrl-CS" w:eastAsia="sr-Cyrl-CS"/>
        </w:rPr>
      </w:pPr>
    </w:p>
    <w:p w14:paraId="48DC7203" w14:textId="77777777" w:rsidR="00AC030A" w:rsidRDefault="007C74A2" w:rsidP="001538EF">
      <w:pPr>
        <w:rPr>
          <w:rFonts w:asciiTheme="minorHAnsi" w:hAnsiTheme="minorHAnsi"/>
          <w:color w:val="auto"/>
          <w:sz w:val="20"/>
          <w:szCs w:val="20"/>
          <w:lang w:val="sr-Cyrl-CS" w:eastAsia="sr-Cyrl-CS"/>
        </w:rPr>
      </w:pPr>
      <w:r>
        <w:rPr>
          <w:rFonts w:asciiTheme="minorHAnsi" w:hAnsiTheme="minorHAnsi"/>
          <w:color w:val="auto"/>
          <w:sz w:val="20"/>
          <w:szCs w:val="20"/>
          <w:lang w:eastAsia="sr-Cyrl-CS"/>
        </w:rPr>
        <w:t>Poslovna aktiva Garantnog fonda na dan 31.12.2023. godine iznosi 20.879.630,86 KM, a čine je tekuća sredstva u iznosu od 20.553.861,09 KM i stalna sredstva u iznosu od 325.769,77 KM. Nije bilo značajnijih promjena u obimu i strukturi poslovne aktive u odnosu na prethodnu godinu.</w:t>
      </w:r>
    </w:p>
    <w:p w14:paraId="4C0EC038" w14:textId="77777777" w:rsidR="00AC030A" w:rsidRDefault="00AC030A" w:rsidP="001538EF">
      <w:pPr>
        <w:rPr>
          <w:rFonts w:asciiTheme="minorHAnsi" w:hAnsiTheme="minorHAnsi"/>
          <w:color w:val="auto"/>
          <w:sz w:val="20"/>
          <w:szCs w:val="20"/>
          <w:lang w:val="sr-Cyrl-CS" w:eastAsia="sr-Cyrl-CS"/>
        </w:rPr>
      </w:pPr>
    </w:p>
    <w:p w14:paraId="6CF10A18" w14:textId="77777777" w:rsidR="00170349" w:rsidRDefault="00170349" w:rsidP="001538EF">
      <w:pPr>
        <w:rPr>
          <w:rFonts w:asciiTheme="minorHAnsi" w:hAnsiTheme="minorHAnsi"/>
          <w:color w:val="auto"/>
          <w:sz w:val="20"/>
          <w:szCs w:val="20"/>
          <w:lang w:val="sr-Cyrl-CS" w:eastAsia="sr-Cyrl-CS"/>
        </w:rPr>
      </w:pPr>
    </w:p>
    <w:p w14:paraId="761D2E2E" w14:textId="77777777" w:rsidR="001538EF" w:rsidRDefault="00543B93" w:rsidP="001538EF">
      <w:pPr>
        <w:rPr>
          <w:rFonts w:asciiTheme="minorHAnsi" w:hAnsiTheme="minorHAnsi"/>
          <w:color w:val="auto"/>
          <w:sz w:val="20"/>
          <w:szCs w:val="20"/>
          <w:lang w:val="sr-Cyrl-CS" w:eastAsia="sr-Cyrl-CS"/>
        </w:rPr>
      </w:pPr>
      <w:r>
        <w:rPr>
          <w:rFonts w:asciiTheme="minorHAnsi" w:hAnsiTheme="minorHAnsi"/>
          <w:color w:val="auto"/>
          <w:sz w:val="20"/>
          <w:szCs w:val="20"/>
          <w:lang w:eastAsia="sr-Cyrl-CS"/>
        </w:rPr>
        <w:t xml:space="preserve"> U strukturi aktive dominantno učešće imaju tekuća sredstva koja obuhvataju sledeće stavke:</w:t>
      </w:r>
    </w:p>
    <w:p w14:paraId="58819777" w14:textId="77777777" w:rsidR="0052360C" w:rsidRPr="007C74A2" w:rsidRDefault="0052360C" w:rsidP="001538EF">
      <w:pPr>
        <w:rPr>
          <w:rFonts w:asciiTheme="minorHAnsi" w:hAnsiTheme="minorHAnsi"/>
          <w:color w:val="auto"/>
          <w:sz w:val="20"/>
          <w:szCs w:val="20"/>
          <w:lang w:val="sr-Cyrl-CS" w:eastAsia="sr-Cyrl-CS"/>
        </w:rPr>
      </w:pPr>
    </w:p>
    <w:p w14:paraId="7E9C9AB3" w14:textId="7E808F32" w:rsidR="001538EF" w:rsidRPr="007C74A2" w:rsidRDefault="001538EF" w:rsidP="001538EF">
      <w:pPr>
        <w:pStyle w:val="ListParagraph"/>
        <w:numPr>
          <w:ilvl w:val="0"/>
          <w:numId w:val="21"/>
        </w:numPr>
        <w:tabs>
          <w:tab w:val="left" w:pos="1134"/>
          <w:tab w:val="left" w:pos="1776"/>
        </w:tabs>
        <w:ind w:hanging="1427"/>
        <w:rPr>
          <w:rFonts w:asciiTheme="minorHAnsi" w:hAnsiTheme="minorHAnsi"/>
          <w:color w:val="auto"/>
          <w:sz w:val="20"/>
          <w:szCs w:val="20"/>
          <w:lang w:val="sr-Cyrl-CS" w:eastAsia="sr-Cyrl-CS"/>
        </w:rPr>
      </w:pPr>
      <w:r w:rsidRPr="004B146F">
        <w:rPr>
          <w:rFonts w:asciiTheme="minorHAnsi" w:hAnsiTheme="minorHAnsi"/>
          <w:b/>
          <w:color w:val="auto"/>
          <w:sz w:val="20"/>
          <w:szCs w:val="20"/>
          <w:lang w:eastAsia="sr-Cyrl-CS"/>
        </w:rPr>
        <w:t xml:space="preserve">gotovina i gotovinski ekvivalenti  </w:t>
      </w:r>
      <w:r w:rsidR="007C74A2" w:rsidRPr="007C74A2">
        <w:rPr>
          <w:rFonts w:asciiTheme="minorHAnsi" w:hAnsiTheme="minorHAnsi"/>
          <w:color w:val="auto"/>
          <w:sz w:val="20"/>
          <w:szCs w:val="20"/>
          <w:lang w:eastAsia="sr-Cyrl-CS"/>
        </w:rPr>
        <w:t xml:space="preserve"> u iznosu od  </w:t>
      </w:r>
      <w:r w:rsidR="007C74A2" w:rsidRPr="005D68A8">
        <w:rPr>
          <w:rFonts w:ascii="Calibri" w:hAnsi="Calibri"/>
          <w:color w:val="auto"/>
          <w:sz w:val="20"/>
          <w:szCs w:val="20"/>
        </w:rPr>
        <w:t xml:space="preserve"> 854.171,43 </w:t>
      </w:r>
      <w:r w:rsidRPr="007C74A2">
        <w:rPr>
          <w:rFonts w:asciiTheme="minorHAnsi" w:hAnsiTheme="minorHAnsi"/>
          <w:color w:val="auto"/>
          <w:sz w:val="20"/>
          <w:szCs w:val="20"/>
          <w:lang w:eastAsia="sr-Cyrl-CS"/>
        </w:rPr>
        <w:t xml:space="preserve">KM </w:t>
      </w:r>
    </w:p>
    <w:p w14:paraId="58E7C980" w14:textId="06887CC3" w:rsidR="001538EF" w:rsidRPr="007C74A2" w:rsidRDefault="007C74A2" w:rsidP="001538EF">
      <w:pPr>
        <w:pStyle w:val="ListParagraph"/>
        <w:numPr>
          <w:ilvl w:val="0"/>
          <w:numId w:val="21"/>
        </w:numPr>
        <w:tabs>
          <w:tab w:val="left" w:pos="1134"/>
          <w:tab w:val="left" w:pos="1776"/>
        </w:tabs>
        <w:ind w:hanging="1427"/>
        <w:rPr>
          <w:rFonts w:asciiTheme="minorHAnsi" w:hAnsiTheme="minorHAnsi"/>
          <w:b/>
          <w:color w:val="auto"/>
          <w:sz w:val="20"/>
          <w:szCs w:val="20"/>
          <w:lang w:val="sr-Cyrl-CS" w:eastAsia="sr-Cyrl-CS"/>
        </w:rPr>
      </w:pPr>
      <w:r w:rsidRPr="004B146F">
        <w:rPr>
          <w:rFonts w:asciiTheme="minorHAnsi" w:hAnsiTheme="minorHAnsi"/>
          <w:b/>
          <w:color w:val="auto"/>
          <w:sz w:val="20"/>
          <w:szCs w:val="20"/>
          <w:lang w:eastAsia="sr-Cyrl-CS"/>
        </w:rPr>
        <w:t xml:space="preserve">oročeni depoziti  </w:t>
      </w:r>
      <w:r w:rsidRPr="007C74A2">
        <w:rPr>
          <w:rFonts w:asciiTheme="minorHAnsi" w:hAnsiTheme="minorHAnsi"/>
          <w:color w:val="auto"/>
          <w:sz w:val="20"/>
          <w:szCs w:val="20"/>
          <w:lang w:eastAsia="sr-Cyrl-CS"/>
        </w:rPr>
        <w:t xml:space="preserve"> u iznosu od 100.000,00 KM </w:t>
      </w:r>
    </w:p>
    <w:p w14:paraId="4F2A12BC" w14:textId="24D12516" w:rsidR="001538EF" w:rsidRPr="00AC030A" w:rsidRDefault="001538EF" w:rsidP="00AC030A">
      <w:pPr>
        <w:pStyle w:val="ListParagraph"/>
        <w:numPr>
          <w:ilvl w:val="0"/>
          <w:numId w:val="21"/>
        </w:numPr>
        <w:tabs>
          <w:tab w:val="left" w:pos="1134"/>
          <w:tab w:val="left" w:pos="1776"/>
        </w:tabs>
        <w:ind w:hanging="1427"/>
        <w:rPr>
          <w:rFonts w:asciiTheme="minorHAnsi" w:hAnsiTheme="minorHAnsi"/>
          <w:b/>
          <w:color w:val="auto"/>
          <w:sz w:val="20"/>
          <w:szCs w:val="20"/>
          <w:lang w:val="sr-Cyrl-CS" w:eastAsia="sr-Cyrl-CS"/>
        </w:rPr>
      </w:pPr>
      <w:r w:rsidRPr="004B146F">
        <w:rPr>
          <w:rFonts w:asciiTheme="minorHAnsi" w:hAnsiTheme="minorHAnsi"/>
          <w:b/>
          <w:color w:val="auto"/>
          <w:sz w:val="20"/>
          <w:szCs w:val="20"/>
          <w:lang w:eastAsia="sr-Cyrl-CS"/>
        </w:rPr>
        <w:t xml:space="preserve">potraživanja  </w:t>
      </w:r>
      <w:r w:rsidR="007C74A2" w:rsidRPr="00543B93">
        <w:rPr>
          <w:rFonts w:asciiTheme="minorHAnsi" w:hAnsiTheme="minorHAnsi"/>
          <w:color w:val="auto"/>
          <w:sz w:val="20"/>
          <w:szCs w:val="20"/>
          <w:lang w:eastAsia="sr-Cyrl-CS"/>
        </w:rPr>
        <w:t xml:space="preserve"> u iznosu od 541.728,17 KM, a odnose se na: </w:t>
      </w:r>
    </w:p>
    <w:p w14:paraId="1C1D8AF8" w14:textId="77777777" w:rsidR="00655955" w:rsidRPr="00A445D7" w:rsidRDefault="00655955" w:rsidP="00AC030A">
      <w:pPr>
        <w:pStyle w:val="ListParagraph"/>
        <w:numPr>
          <w:ilvl w:val="0"/>
          <w:numId w:val="20"/>
        </w:numPr>
        <w:tabs>
          <w:tab w:val="left" w:pos="2484"/>
        </w:tabs>
        <w:ind w:left="1134" w:hanging="425"/>
        <w:rPr>
          <w:rFonts w:asciiTheme="minorHAnsi" w:hAnsiTheme="minorHAnsi"/>
          <w:color w:val="FF0000"/>
          <w:sz w:val="20"/>
          <w:szCs w:val="20"/>
          <w:lang w:val="sr-Cyrl-BA" w:eastAsia="sr-Cyrl-CS"/>
        </w:rPr>
      </w:pPr>
      <w:r w:rsidRPr="00A445D7">
        <w:rPr>
          <w:rFonts w:asciiTheme="minorHAnsi" w:hAnsiTheme="minorHAnsi"/>
          <w:color w:val="auto"/>
          <w:sz w:val="20"/>
          <w:szCs w:val="20"/>
          <w:lang w:eastAsia="sr-Cyrl-CS"/>
        </w:rPr>
        <w:t xml:space="preserve">potraživanja za premije za izdane garancije u iznosu od 273.321,50 KM. Sektor za monitoring i naplatu potraživanja Garantnog fonda RS je obavljajući redovne aktivnosti u toku 2023. godine dostavio 196 opomena pred blokadu računa za neuredne nalogodavce garancija, te izvtšio 13 blokada račina radi naplate potraživanja putem mjenice. </w:t>
      </w:r>
    </w:p>
    <w:p w14:paraId="34690950" w14:textId="77777777" w:rsidR="00655955" w:rsidRPr="00AC030A" w:rsidRDefault="001538EF" w:rsidP="00AC030A">
      <w:pPr>
        <w:pStyle w:val="ListParagraph"/>
        <w:numPr>
          <w:ilvl w:val="0"/>
          <w:numId w:val="20"/>
        </w:numPr>
        <w:tabs>
          <w:tab w:val="left" w:pos="1418"/>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eastAsia="sr-Cyrl-CS"/>
        </w:rPr>
        <w:t>potraživanja za zatezne kamate obračunate uslijed kašnjenja u plaćanju premije u iznosu od 294.772,27 KM i nenaplaćene kamate na oročena sredstva u iznosu od 137,61 KM. Korigovani iznos potraživanja za premiju i zateznu kamatu, kada se uzme u obzir ispravka vrijednosti navedenih potraživanja, iznosi 480.691,53 KM.</w:t>
      </w:r>
    </w:p>
    <w:p w14:paraId="3C9704E6" w14:textId="77777777" w:rsidR="001538EF" w:rsidRPr="00A445D7" w:rsidRDefault="001538EF" w:rsidP="00AC030A">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eastAsia="sr-Cyrl-CS"/>
        </w:rPr>
        <w:t>potraživanja za premiju za izdane garancije u okviru portfelja za energetsku efikasnost u iznosu od 8.789,83 KM</w:t>
      </w:r>
    </w:p>
    <w:p w14:paraId="08A3C64C" w14:textId="77777777" w:rsidR="001538EF" w:rsidRPr="00A445D7" w:rsidRDefault="001538EF" w:rsidP="00AC030A">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eastAsia="sr-Cyrl-CS"/>
        </w:rPr>
        <w:t>ostala potraživanja iz operativnog poslovanja u iznosu od 52.247,02 KM, a koja se odnose na priznata potraživanja za kamatu na oročena sredstva u Banci Srpske u stečaju u iznosu od 41.839,70 KM, potraživanja za refundaciju za trudničko bolovanje u iznosu od 10.145,62 KM, te ostala potraživanja iz operativnog poslovanja u iznosu od 327,70 KM</w:t>
      </w:r>
    </w:p>
    <w:p w14:paraId="0DFB03D1" w14:textId="13AD4024" w:rsidR="001538EF" w:rsidRPr="007C74A2" w:rsidRDefault="004C0CBD" w:rsidP="00AC030A">
      <w:pPr>
        <w:pStyle w:val="ListParagraph"/>
        <w:numPr>
          <w:ilvl w:val="0"/>
          <w:numId w:val="25"/>
        </w:numPr>
        <w:tabs>
          <w:tab w:val="left" w:pos="1134"/>
        </w:tabs>
        <w:ind w:left="1134" w:hanging="425"/>
        <w:rPr>
          <w:rFonts w:asciiTheme="minorHAnsi" w:hAnsiTheme="minorHAnsi"/>
          <w:color w:val="auto"/>
          <w:sz w:val="20"/>
          <w:szCs w:val="20"/>
          <w:lang w:val="sr-Cyrl-CS" w:eastAsia="sr-Cyrl-CS"/>
        </w:rPr>
      </w:pPr>
      <w:r w:rsidRPr="004B146F">
        <w:rPr>
          <w:rFonts w:asciiTheme="minorHAnsi" w:hAnsiTheme="minorHAnsi"/>
          <w:b/>
          <w:color w:val="auto"/>
          <w:sz w:val="20"/>
          <w:szCs w:val="20"/>
          <w:lang w:eastAsia="sr-Cyrl-CS"/>
        </w:rPr>
        <w:t xml:space="preserve">hartije od vrijednosti </w:t>
      </w:r>
      <w:r>
        <w:rPr>
          <w:rFonts w:asciiTheme="minorHAnsi" w:hAnsiTheme="minorHAnsi"/>
          <w:color w:val="auto"/>
          <w:sz w:val="20"/>
          <w:szCs w:val="20"/>
          <w:lang w:eastAsia="sr-Cyrl-CS"/>
        </w:rPr>
        <w:t xml:space="preserve">  u iznosu od  </w:t>
      </w:r>
      <w:r w:rsidR="007C74A2" w:rsidRPr="005D68A8">
        <w:rPr>
          <w:rFonts w:ascii="Calibri" w:hAnsi="Calibri"/>
          <w:color w:val="auto"/>
          <w:sz w:val="20"/>
          <w:szCs w:val="20"/>
        </w:rPr>
        <w:t xml:space="preserve"> 11.641.849,00 KM sa ispravkom vrijednosti, od čega se 11.434.960,90 KM odnosi na dužničke hartije od vrijednosti koje se drže do roka dospijeća, a 206.888,08 KM na potraživanje po osnovu kamate na iste </w:t>
      </w:r>
    </w:p>
    <w:p w14:paraId="71CE10DC" w14:textId="2A518021" w:rsidR="00942B0B" w:rsidRPr="00942B0B" w:rsidRDefault="004B146F" w:rsidP="00AC030A">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4B146F">
        <w:rPr>
          <w:rFonts w:asciiTheme="minorHAnsi" w:hAnsiTheme="minorHAnsi"/>
          <w:b/>
          <w:color w:val="auto"/>
          <w:sz w:val="20"/>
          <w:szCs w:val="20"/>
          <w:lang w:eastAsia="sr-Cyrl-CS"/>
        </w:rPr>
        <w:t xml:space="preserve">ostali plasmani </w:t>
      </w:r>
      <w:r w:rsidR="004C0CBD">
        <w:rPr>
          <w:rFonts w:asciiTheme="minorHAnsi" w:hAnsiTheme="minorHAnsi"/>
          <w:color w:val="auto"/>
          <w:sz w:val="20"/>
          <w:szCs w:val="20"/>
          <w:lang w:eastAsia="sr-Cyrl-CS"/>
        </w:rPr>
        <w:t xml:space="preserve">  u iznosu od 7.398.808,11 KM, koji se odnose na: </w:t>
      </w:r>
    </w:p>
    <w:p w14:paraId="0969C102" w14:textId="77777777" w:rsidR="004B146F" w:rsidRPr="004B146F" w:rsidRDefault="004B146F" w:rsidP="00AC030A">
      <w:pPr>
        <w:pStyle w:val="ListParagraph"/>
        <w:numPr>
          <w:ilvl w:val="0"/>
          <w:numId w:val="23"/>
        </w:numPr>
        <w:ind w:left="1134" w:hanging="425"/>
        <w:rPr>
          <w:rFonts w:asciiTheme="minorHAnsi" w:hAnsiTheme="minorHAnsi"/>
          <w:color w:val="auto"/>
          <w:sz w:val="20"/>
          <w:szCs w:val="20"/>
          <w:lang w:val="sr-Cyrl-CS" w:eastAsia="sr-Cyrl-CS"/>
        </w:rPr>
      </w:pPr>
      <w:r>
        <w:rPr>
          <w:rFonts w:asciiTheme="minorHAnsi" w:hAnsiTheme="minorHAnsi"/>
          <w:color w:val="auto"/>
          <w:sz w:val="20"/>
          <w:szCs w:val="20"/>
          <w:lang w:eastAsia="sr-Cyrl-CS"/>
        </w:rPr>
        <w:t>potraživanja od Banke Srpske u stečaju u iznosu od 2.041.231,98 KM i Bobar banke u likvidaciji u iznosu od 3.689.596,41 KM (sa ispravkama vrijednosti)</w:t>
      </w:r>
    </w:p>
    <w:p w14:paraId="391E3195" w14:textId="77777777" w:rsidR="004B146F" w:rsidRPr="004B146F" w:rsidRDefault="004B146F" w:rsidP="00AC030A">
      <w:pPr>
        <w:pStyle w:val="ListParagraph"/>
        <w:numPr>
          <w:ilvl w:val="0"/>
          <w:numId w:val="23"/>
        </w:numPr>
        <w:tabs>
          <w:tab w:val="left" w:pos="1134"/>
        </w:tabs>
        <w:ind w:left="1134" w:hanging="425"/>
        <w:rPr>
          <w:rFonts w:asciiTheme="minorHAnsi" w:hAnsiTheme="minorHAnsi"/>
          <w:color w:val="auto"/>
          <w:sz w:val="20"/>
          <w:szCs w:val="20"/>
          <w:lang w:val="sr-Cyrl-CS" w:eastAsia="sr-Cyrl-CS"/>
        </w:rPr>
      </w:pPr>
      <w:r>
        <w:rPr>
          <w:rFonts w:asciiTheme="minorHAnsi" w:hAnsiTheme="minorHAnsi"/>
          <w:color w:val="auto"/>
          <w:sz w:val="20"/>
          <w:szCs w:val="20"/>
          <w:lang w:eastAsia="sr-Cyrl-CS"/>
        </w:rPr>
        <w:t xml:space="preserve">       plasmane po izvršenim plaćanjima za garancije sa ispravkama vrijednosti u iznosu od 1.667.979,72 KM </w:t>
      </w:r>
    </w:p>
    <w:p w14:paraId="56610263" w14:textId="1097CAF3" w:rsidR="001538EF" w:rsidRPr="004055AF" w:rsidRDefault="004B146F" w:rsidP="00AC030A">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4B146F">
        <w:rPr>
          <w:rFonts w:asciiTheme="minorHAnsi" w:hAnsiTheme="minorHAnsi"/>
          <w:b/>
          <w:color w:val="auto"/>
          <w:sz w:val="20"/>
          <w:szCs w:val="20"/>
          <w:lang w:eastAsia="sr-Cyrl-CS"/>
        </w:rPr>
        <w:lastRenderedPageBreak/>
        <w:t xml:space="preserve">aktivna vremenska razgraničenja </w:t>
      </w:r>
      <w:r w:rsidRPr="00942B0B">
        <w:rPr>
          <w:rFonts w:asciiTheme="minorHAnsi" w:hAnsiTheme="minorHAnsi"/>
          <w:color w:val="auto"/>
          <w:sz w:val="20"/>
          <w:szCs w:val="20"/>
          <w:lang w:eastAsia="sr-Cyrl-CS"/>
        </w:rPr>
        <w:t xml:space="preserve">  (AVR) iznose 17.304,38 KM, a većinski dio se odnosi na razgraničene troškove zatezne kamate </w:t>
      </w:r>
    </w:p>
    <w:p w14:paraId="0E23DE97" w14:textId="77777777" w:rsidR="004055AF" w:rsidRDefault="004055AF" w:rsidP="004055AF">
      <w:pPr>
        <w:pStyle w:val="ListParagraph"/>
        <w:tabs>
          <w:tab w:val="left" w:pos="1134"/>
        </w:tabs>
        <w:ind w:left="1134"/>
        <w:rPr>
          <w:rFonts w:asciiTheme="minorHAnsi" w:hAnsiTheme="minorHAnsi"/>
          <w:color w:val="auto"/>
          <w:sz w:val="20"/>
          <w:szCs w:val="20"/>
          <w:lang w:val="sr-Cyrl-CS" w:eastAsia="sr-Cyrl-CS"/>
        </w:rPr>
      </w:pPr>
    </w:p>
    <w:p w14:paraId="62A560F6" w14:textId="77777777" w:rsidR="008F7B16" w:rsidRDefault="008F7B16" w:rsidP="008F7B16">
      <w:pPr>
        <w:pStyle w:val="ListParagraph"/>
        <w:tabs>
          <w:tab w:val="left" w:pos="1134"/>
        </w:tabs>
        <w:ind w:left="1418"/>
        <w:rPr>
          <w:rFonts w:asciiTheme="minorHAnsi" w:hAnsiTheme="minorHAnsi"/>
          <w:color w:val="auto"/>
          <w:sz w:val="20"/>
          <w:szCs w:val="20"/>
          <w:lang w:val="sr-Cyrl-CS" w:eastAsia="sr-Cyrl-CS"/>
        </w:rPr>
      </w:pPr>
    </w:p>
    <w:p w14:paraId="7D85A4C4" w14:textId="77777777" w:rsidR="00CA28AF" w:rsidRDefault="00AC030A" w:rsidP="00CA28AF">
      <w:pPr>
        <w:tabs>
          <w:tab w:val="left" w:pos="1134"/>
        </w:tabs>
        <w:ind w:left="709"/>
        <w:rPr>
          <w:rFonts w:asciiTheme="minorHAnsi" w:hAnsiTheme="minorHAnsi"/>
          <w:color w:val="auto"/>
          <w:sz w:val="20"/>
          <w:szCs w:val="20"/>
          <w:lang w:val="sr-Cyrl-CS" w:eastAsia="sr-Cyrl-CS"/>
        </w:rPr>
      </w:pPr>
      <w:r>
        <w:rPr>
          <w:rFonts w:asciiTheme="minorHAnsi" w:hAnsiTheme="minorHAnsi"/>
          <w:color w:val="auto"/>
          <w:sz w:val="20"/>
          <w:szCs w:val="20"/>
          <w:lang w:eastAsia="sr-Cyrl-CS"/>
        </w:rPr>
        <w:t>Stalna sredstva u iznosu od 325.769,77 KM obuhvataju sledeće stavke:</w:t>
      </w:r>
    </w:p>
    <w:p w14:paraId="0B0EE685" w14:textId="77777777" w:rsidR="0052360C" w:rsidRPr="00CA28AF" w:rsidRDefault="0052360C" w:rsidP="00CA28AF">
      <w:pPr>
        <w:tabs>
          <w:tab w:val="left" w:pos="1134"/>
        </w:tabs>
        <w:ind w:left="709"/>
        <w:rPr>
          <w:rFonts w:asciiTheme="minorHAnsi" w:hAnsiTheme="minorHAnsi"/>
          <w:color w:val="auto"/>
          <w:sz w:val="20"/>
          <w:szCs w:val="20"/>
          <w:lang w:val="sr-Cyrl-CS" w:eastAsia="sr-Cyrl-CS"/>
        </w:rPr>
      </w:pPr>
    </w:p>
    <w:p w14:paraId="55AE44C5" w14:textId="52F2F427" w:rsidR="00CA28AF" w:rsidRPr="00CA28AF" w:rsidRDefault="00CA28AF" w:rsidP="00CA28AF">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eastAsia="sr-Cyrl-CS"/>
        </w:rPr>
        <w:t xml:space="preserve">osnovna sredstva  </w:t>
      </w:r>
      <w:r w:rsidRPr="00CA28AF">
        <w:rPr>
          <w:rFonts w:asciiTheme="minorHAnsi" w:hAnsiTheme="minorHAnsi"/>
          <w:color w:val="auto"/>
          <w:sz w:val="20"/>
          <w:szCs w:val="20"/>
          <w:lang w:eastAsia="sr-Cyrl-CS"/>
        </w:rPr>
        <w:t xml:space="preserve"> se odnose na ulaganja u opremu za rad Fonda u iznosu od 374.777,00 KM i ulaganje u tuđa stalna sredstva u iznosu od 64.624,33 KM. Njihova neto vrijednost na kraju 2023. godine iznosi 177.822,52 KM </w:t>
      </w:r>
    </w:p>
    <w:p w14:paraId="19912C36" w14:textId="4D8D5867" w:rsidR="00CA28AF" w:rsidRPr="00CA28AF" w:rsidRDefault="00CA28AF" w:rsidP="00CA28AF">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eastAsia="sr-Cyrl-CS"/>
        </w:rPr>
        <w:t xml:space="preserve">ostala nematerijalna ulaganja  </w:t>
      </w:r>
      <w:r w:rsidRPr="00CA28AF">
        <w:rPr>
          <w:rFonts w:asciiTheme="minorHAnsi" w:hAnsiTheme="minorHAnsi"/>
          <w:color w:val="auto"/>
          <w:sz w:val="20"/>
          <w:szCs w:val="20"/>
          <w:lang w:eastAsia="sr-Cyrl-CS"/>
        </w:rPr>
        <w:t xml:space="preserve"> u neto iznosu od 49.318,25 KM odnose se na ulaganja u licence za korišćenje standardnih softvera, aplikativne licence za softver garancija, kreditni portfelj, programa COVID 19, knjige standarda Fonda itd. </w:t>
      </w:r>
    </w:p>
    <w:p w14:paraId="7159C3A5" w14:textId="42855843" w:rsidR="003547B5" w:rsidRDefault="001538EF" w:rsidP="002575E6">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eastAsia="sr-Cyrl-CS"/>
        </w:rPr>
        <w:t xml:space="preserve">stalna sredstva namijenjena prodaji  </w:t>
      </w:r>
      <w:r w:rsidR="008F7B16">
        <w:rPr>
          <w:rFonts w:asciiTheme="minorHAnsi" w:hAnsiTheme="minorHAnsi"/>
          <w:color w:val="auto"/>
          <w:sz w:val="20"/>
          <w:szCs w:val="20"/>
          <w:lang w:eastAsia="sr-Cyrl-CS"/>
        </w:rPr>
        <w:t xml:space="preserve"> iznose 98.629,00 KM. Radi se o imovini koju su klijenti Planinsko dobro d.o.o. Rogatica i PR Roj Kostajnica (šuma, zemljište, pomoćni objekti) ponudili kao sredstvo obezbjeđenja po plasmanima obezbjeđenim garancijom Garantnog fonda. Nakon proglašenja kredita dospjelim i plaćanja garancije, pokrenut je izvršni postupak, a okončanjem istog je donesena sudska presuda kojom je navedena imovina postala vlasništvo Garantnog fonda. </w:t>
      </w:r>
    </w:p>
    <w:p w14:paraId="1BB37B58" w14:textId="77777777" w:rsidR="00A64AF6" w:rsidRDefault="00A64AF6" w:rsidP="00A64AF6">
      <w:pPr>
        <w:rPr>
          <w:rFonts w:asciiTheme="minorHAnsi" w:hAnsiTheme="minorHAnsi"/>
          <w:color w:val="auto"/>
          <w:sz w:val="20"/>
          <w:szCs w:val="20"/>
          <w:lang w:val="sr-Cyrl-CS" w:eastAsia="sr-Cyrl-CS"/>
        </w:rPr>
      </w:pPr>
    </w:p>
    <w:p w14:paraId="4F8F8FBF" w14:textId="77777777" w:rsidR="003547B5" w:rsidRPr="00CB12D5" w:rsidRDefault="00A64AF6" w:rsidP="00CB12D5">
      <w:pPr>
        <w:rPr>
          <w:rFonts w:asciiTheme="minorHAnsi" w:hAnsiTheme="minorHAnsi"/>
          <w:color w:val="auto"/>
          <w:sz w:val="20"/>
          <w:szCs w:val="20"/>
          <w:lang w:val="sr-Cyrl-CS" w:eastAsia="sr-Cyrl-CS"/>
        </w:rPr>
      </w:pPr>
      <w:r>
        <w:rPr>
          <w:rFonts w:asciiTheme="minorHAnsi" w:hAnsiTheme="minorHAnsi"/>
          <w:color w:val="auto"/>
          <w:sz w:val="20"/>
          <w:szCs w:val="20"/>
          <w:lang w:eastAsia="sr-Cyrl-CS"/>
        </w:rPr>
        <w:t>Stanje vanbilansne evidencije u kojoj se vode izdane garancije je 53.569.487,72 KM, te ukupna aktiva Garantnog fonda na dan 31.12.2023. godine iznosi 74.449.118,58 KM.</w:t>
      </w:r>
    </w:p>
    <w:p w14:paraId="518A75BE" w14:textId="77777777" w:rsidR="001538EF" w:rsidRPr="00E00B0B" w:rsidRDefault="001538EF" w:rsidP="00E00B0B">
      <w:pPr>
        <w:rPr>
          <w:rFonts w:asciiTheme="minorHAnsi" w:hAnsiTheme="minorHAnsi"/>
          <w:color w:val="auto"/>
          <w:sz w:val="20"/>
          <w:szCs w:val="20"/>
          <w:lang w:val="sr-Cyrl-CS" w:eastAsia="sr-Cyrl-CS"/>
        </w:rPr>
      </w:pPr>
      <w:r w:rsidRPr="00E00B0B">
        <w:rPr>
          <w:rFonts w:asciiTheme="minorHAnsi" w:hAnsiTheme="minorHAnsi"/>
          <w:color w:val="auto"/>
          <w:sz w:val="20"/>
          <w:szCs w:val="20"/>
          <w:lang w:eastAsia="sr-Cyrl-CS"/>
        </w:rPr>
        <w:t>Stanje poslovne pasive iznosi 20.879.630,61 KM i čine je :</w:t>
      </w:r>
    </w:p>
    <w:p w14:paraId="47D3CE51" w14:textId="77777777" w:rsidR="001538EF" w:rsidRPr="00330E93" w:rsidRDefault="001538EF" w:rsidP="001538EF">
      <w:pPr>
        <w:ind w:left="708"/>
        <w:jc w:val="left"/>
        <w:rPr>
          <w:rFonts w:asciiTheme="minorHAnsi" w:hAnsiTheme="minorHAnsi"/>
          <w:color w:val="FF0000"/>
          <w:sz w:val="20"/>
          <w:szCs w:val="20"/>
          <w:lang w:val="sr-Cyrl-CS" w:eastAsia="sr-Cyrl-CS"/>
        </w:rPr>
      </w:pPr>
    </w:p>
    <w:p w14:paraId="239EE087" w14:textId="6F2E0140" w:rsidR="001538EF" w:rsidRPr="00E00B0B" w:rsidRDefault="00E00B0B" w:rsidP="00A64AF6">
      <w:pPr>
        <w:pStyle w:val="ListParagraph"/>
        <w:numPr>
          <w:ilvl w:val="0"/>
          <w:numId w:val="22"/>
        </w:numPr>
        <w:tabs>
          <w:tab w:val="left" w:pos="709"/>
        </w:tabs>
        <w:ind w:left="1134" w:hanging="425"/>
        <w:jc w:val="left"/>
        <w:rPr>
          <w:rFonts w:asciiTheme="minorHAnsi" w:hAnsiTheme="minorHAnsi"/>
          <w:color w:val="auto"/>
          <w:sz w:val="20"/>
          <w:szCs w:val="20"/>
          <w:lang w:val="sr-Cyrl-CS" w:eastAsia="sr-Cyrl-CS"/>
        </w:rPr>
      </w:pPr>
      <w:r w:rsidRPr="00E00B0B">
        <w:rPr>
          <w:rFonts w:asciiTheme="minorHAnsi" w:hAnsiTheme="minorHAnsi"/>
          <w:b/>
          <w:color w:val="auto"/>
          <w:sz w:val="20"/>
          <w:szCs w:val="20"/>
          <w:lang w:eastAsia="sr-Cyrl-CS"/>
        </w:rPr>
        <w:t xml:space="preserve">obaveze </w:t>
      </w:r>
      <w:r w:rsidRPr="00E00B0B">
        <w:rPr>
          <w:rFonts w:asciiTheme="minorHAnsi" w:hAnsiTheme="minorHAnsi"/>
          <w:color w:val="auto"/>
          <w:sz w:val="20"/>
          <w:szCs w:val="20"/>
          <w:lang w:eastAsia="sr-Cyrl-CS"/>
        </w:rPr>
        <w:t xml:space="preserve">  u iznosu od 3.050.241,61KM, a odnose se na: </w:t>
      </w:r>
    </w:p>
    <w:p w14:paraId="2118727D" w14:textId="77777777" w:rsidR="001538EF" w:rsidRDefault="00702D51" w:rsidP="00A64AF6">
      <w:pPr>
        <w:pStyle w:val="ListParagraph"/>
        <w:numPr>
          <w:ilvl w:val="0"/>
          <w:numId w:val="24"/>
        </w:numPr>
        <w:ind w:left="1134" w:hanging="425"/>
        <w:rPr>
          <w:rFonts w:asciiTheme="minorHAnsi" w:hAnsiTheme="minorHAnsi"/>
          <w:color w:val="auto"/>
          <w:sz w:val="20"/>
          <w:szCs w:val="20"/>
          <w:lang w:val="sr-Cyrl-CS" w:eastAsia="sr-Cyrl-CS"/>
        </w:rPr>
      </w:pPr>
      <w:r>
        <w:rPr>
          <w:rFonts w:asciiTheme="minorHAnsi" w:hAnsiTheme="minorHAnsi"/>
          <w:color w:val="auto"/>
          <w:sz w:val="20"/>
          <w:szCs w:val="20"/>
          <w:lang w:eastAsia="sr-Cyrl-CS"/>
        </w:rPr>
        <w:t xml:space="preserve">obaveze za kamatu po osnovu ostalih fin. obaveza u iznosu od 288.993,46 KM, a vezane su za sudski postupak u vezi sa protestovanom garancijom, gdje je sudskom presudom naloženo plaćanje navedenog iznosa od strane Garantnog fonda </w:t>
      </w:r>
    </w:p>
    <w:p w14:paraId="41ECD7E9" w14:textId="77777777" w:rsidR="00A64AF6" w:rsidRDefault="00A64AF6" w:rsidP="00A64AF6">
      <w:pPr>
        <w:pStyle w:val="ListParagraph"/>
        <w:numPr>
          <w:ilvl w:val="0"/>
          <w:numId w:val="24"/>
        </w:numPr>
        <w:ind w:left="1134" w:hanging="425"/>
        <w:rPr>
          <w:rFonts w:asciiTheme="minorHAnsi" w:hAnsiTheme="minorHAnsi"/>
          <w:color w:val="auto"/>
          <w:sz w:val="20"/>
          <w:szCs w:val="20"/>
          <w:lang w:val="sr-Cyrl-CS" w:eastAsia="sr-Cyrl-CS"/>
        </w:rPr>
      </w:pPr>
      <w:r>
        <w:rPr>
          <w:rFonts w:asciiTheme="minorHAnsi" w:hAnsiTheme="minorHAnsi"/>
          <w:color w:val="auto"/>
          <w:sz w:val="20"/>
          <w:szCs w:val="20"/>
          <w:lang w:eastAsia="sr-Cyrl-CS"/>
        </w:rPr>
        <w:t>obaveze po osnovu aktivirane garancije u iznosu od 1.485.962,50 KM, koja je nastala okončanjem sudskog postupka koji se vodio u vezi sa protestovanom garancijom</w:t>
      </w:r>
    </w:p>
    <w:p w14:paraId="3623EFD2" w14:textId="77777777" w:rsidR="00A64AF6" w:rsidRPr="00702D51" w:rsidRDefault="00A64AF6" w:rsidP="00A64AF6">
      <w:pPr>
        <w:pStyle w:val="ListParagraph"/>
        <w:ind w:left="1134"/>
        <w:rPr>
          <w:rFonts w:asciiTheme="minorHAnsi" w:hAnsiTheme="minorHAnsi"/>
          <w:color w:val="auto"/>
          <w:sz w:val="20"/>
          <w:szCs w:val="20"/>
          <w:lang w:val="sr-Cyrl-CS" w:eastAsia="sr-Cyrl-CS"/>
        </w:rPr>
      </w:pPr>
      <w:r>
        <w:rPr>
          <w:rFonts w:asciiTheme="minorHAnsi" w:hAnsiTheme="minorHAnsi"/>
          <w:color w:val="auto"/>
          <w:sz w:val="20"/>
          <w:szCs w:val="20"/>
          <w:lang w:eastAsia="sr-Cyrl-CS"/>
        </w:rPr>
        <w:t>Obaveze nastale po osnovu protestovane garancije i kamate u vezi sa istom čine više od polovine obaveza Garantnog fonda u 2023. godini</w:t>
      </w:r>
    </w:p>
    <w:p w14:paraId="1BB40D87" w14:textId="77777777" w:rsidR="00E00B0B" w:rsidRPr="00A64AF6" w:rsidRDefault="00E00B0B" w:rsidP="00A64AF6">
      <w:pPr>
        <w:pStyle w:val="ListParagraph"/>
        <w:numPr>
          <w:ilvl w:val="0"/>
          <w:numId w:val="24"/>
        </w:numPr>
        <w:ind w:left="1134" w:hanging="425"/>
        <w:rPr>
          <w:rFonts w:asciiTheme="minorHAnsi" w:hAnsiTheme="minorHAnsi"/>
          <w:color w:val="auto"/>
          <w:sz w:val="20"/>
          <w:szCs w:val="20"/>
          <w:lang w:val="sr-Cyrl-CS" w:eastAsia="sr-Cyrl-CS"/>
        </w:rPr>
      </w:pPr>
      <w:r w:rsidRPr="00702D51">
        <w:rPr>
          <w:rFonts w:asciiTheme="minorHAnsi" w:hAnsiTheme="minorHAnsi"/>
          <w:color w:val="auto"/>
          <w:sz w:val="20"/>
          <w:szCs w:val="20"/>
          <w:lang w:eastAsia="sr-Cyrl-CS"/>
        </w:rPr>
        <w:t>obaveze za zarade i naknade zarada u bruto iznosu od 126.527,59 KM, a odnose se na obračunate, a neisplaćene plate za decembar 2023. godine. Ova obaveza nastaje jer se plate za decembar isplaćuju po isteku obračunskog mjeseca, odnosno u januaru 2024. godine</w:t>
      </w:r>
    </w:p>
    <w:p w14:paraId="6577BD65" w14:textId="77777777" w:rsidR="001538EF" w:rsidRPr="00A64AF6"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A64AF6">
        <w:rPr>
          <w:rFonts w:asciiTheme="minorHAnsi" w:hAnsiTheme="minorHAnsi"/>
          <w:color w:val="auto"/>
          <w:sz w:val="20"/>
          <w:szCs w:val="20"/>
          <w:lang w:eastAsia="sr-Cyrl-CS"/>
        </w:rPr>
        <w:t xml:space="preserve">ostale obaveze u iznosu od 59.072,47 KM, a koje se najvećim dijelom odnose na obaveze prema dobavljačima u iznosu od od 35.059,98 KM i ostale obaveze po isplaćenoj garanciji u iznosu od 20.250,00 KM, a manjim dijelom na obaveze po osnovu primljenih avansa i ostale obaveze iz poslovnih odnosa (naknade za vodu i šume, te protivpožarnu naknadu)  </w:t>
      </w:r>
    </w:p>
    <w:p w14:paraId="3DA9C53A" w14:textId="77777777" w:rsidR="001538EF" w:rsidRPr="00A64AF6"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A64AF6">
        <w:rPr>
          <w:rFonts w:asciiTheme="minorHAnsi" w:hAnsiTheme="minorHAnsi"/>
          <w:color w:val="auto"/>
          <w:sz w:val="20"/>
          <w:szCs w:val="20"/>
          <w:lang w:eastAsia="sr-Cyrl-CS"/>
        </w:rPr>
        <w:t>rezervisanja za pokriće gubitaka po vanbilansnoj aktivi, odnosno izdanim garancijama, u iznosu od 891.448,00 KM</w:t>
      </w:r>
    </w:p>
    <w:p w14:paraId="35000D60" w14:textId="77777777" w:rsidR="001538EF" w:rsidRPr="00A64AF6"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A64AF6">
        <w:rPr>
          <w:rFonts w:asciiTheme="minorHAnsi" w:hAnsiTheme="minorHAnsi"/>
          <w:color w:val="auto"/>
          <w:sz w:val="20"/>
          <w:szCs w:val="20"/>
          <w:lang w:eastAsia="sr-Cyrl-CS"/>
        </w:rPr>
        <w:t xml:space="preserve"> pasivna vremenska razgraničenja (PVR) u iznosu od 187.478,57KM, a odnose se na razgraničene prihode od naknada za kreditni portfelj u iznosu od 19.294,30 KM i razgraničene prihode za potraživanja po amortizacionoj vrijednosti premija po osnovu izdanih redovnih garancija i garancija iz kreditnog portfelja u iznosu od 168.184,27 </w:t>
      </w:r>
      <w:r w:rsidRPr="00A64AF6">
        <w:rPr>
          <w:rFonts w:ascii="Calibri" w:hAnsi="Calibri" w:cs="Calibri"/>
          <w:color w:val="auto"/>
          <w:sz w:val="20"/>
          <w:szCs w:val="20"/>
          <w:lang w:eastAsia="sr-Cyrl-CS"/>
        </w:rPr>
        <w:t xml:space="preserve">  KM </w:t>
      </w:r>
    </w:p>
    <w:p w14:paraId="5E0DE467" w14:textId="77777777" w:rsidR="007C2E76" w:rsidRPr="0052360C" w:rsidRDefault="007C2E76" w:rsidP="00A64AF6">
      <w:pPr>
        <w:pStyle w:val="ListParagraph"/>
        <w:numPr>
          <w:ilvl w:val="0"/>
          <w:numId w:val="24"/>
        </w:numPr>
        <w:ind w:left="1134" w:hanging="425"/>
        <w:rPr>
          <w:rFonts w:asciiTheme="minorHAnsi" w:hAnsiTheme="minorHAnsi"/>
          <w:color w:val="FF0000"/>
          <w:sz w:val="20"/>
          <w:szCs w:val="20"/>
          <w:lang w:val="sr-Cyrl-CS" w:eastAsia="sr-Cyrl-CS"/>
        </w:rPr>
      </w:pPr>
      <w:r w:rsidRPr="00A64AF6">
        <w:rPr>
          <w:rFonts w:asciiTheme="minorHAnsi" w:hAnsiTheme="minorHAnsi"/>
          <w:color w:val="auto"/>
          <w:sz w:val="20"/>
          <w:szCs w:val="20"/>
          <w:lang w:eastAsia="sr-Cyrl-CS"/>
        </w:rPr>
        <w:t xml:space="preserve">obaveze u stranoj valuti iznose 10.759,02 KM, a odnose se na obavezu po osnovu naknade za članstvo u Evropskoj asocijaciji garantnih fondova </w:t>
      </w:r>
    </w:p>
    <w:p w14:paraId="56003D07" w14:textId="77777777" w:rsidR="0052360C" w:rsidRPr="00330E93" w:rsidRDefault="0052360C" w:rsidP="0052360C">
      <w:pPr>
        <w:pStyle w:val="ListParagraph"/>
        <w:ind w:left="1134"/>
        <w:rPr>
          <w:rFonts w:asciiTheme="minorHAnsi" w:hAnsiTheme="minorHAnsi"/>
          <w:color w:val="FF0000"/>
          <w:sz w:val="20"/>
          <w:szCs w:val="20"/>
          <w:lang w:val="sr-Cyrl-CS" w:eastAsia="sr-Cyrl-CS"/>
        </w:rPr>
      </w:pPr>
    </w:p>
    <w:p w14:paraId="623207D0" w14:textId="111F0C78" w:rsidR="001538EF" w:rsidRPr="00E00B0B" w:rsidRDefault="001538EF" w:rsidP="00A64AF6">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E00B0B">
        <w:rPr>
          <w:rFonts w:asciiTheme="minorHAnsi" w:hAnsiTheme="minorHAnsi"/>
          <w:b/>
          <w:color w:val="auto"/>
          <w:sz w:val="20"/>
          <w:szCs w:val="20"/>
          <w:lang w:eastAsia="sr-Cyrl-CS"/>
        </w:rPr>
        <w:t xml:space="preserve">ukupni kapital  </w:t>
      </w:r>
      <w:r w:rsidR="00E00B0B" w:rsidRPr="00E00B0B">
        <w:rPr>
          <w:rFonts w:asciiTheme="minorHAnsi" w:hAnsiTheme="minorHAnsi"/>
          <w:color w:val="auto"/>
          <w:sz w:val="20"/>
          <w:szCs w:val="20"/>
          <w:lang w:eastAsia="sr-Cyrl-CS"/>
        </w:rPr>
        <w:t xml:space="preserve"> u iznosu od 17.829.389,00KM, a čini ga akcijski kapital od 30.000.000,00 KM, koji je umanjen za iznos nepokrivenog gubitka iz ranijeg perioda u iznosu od 10.384.912,00 KM (nastao ispravkama vrijednosti potraživanja od banaka u stečaju gdje su bila deponovana ili uložena slobodna novčana sredstva Fonda- Bobar banka u stečaju i Banka Srpske u stečaju) i gubitka tekuće godine u iznosu od 1.785.699,00KM. </w:t>
      </w:r>
    </w:p>
    <w:p w14:paraId="3462A156" w14:textId="77777777" w:rsidR="00424A91" w:rsidRPr="005767EF" w:rsidRDefault="00424A91" w:rsidP="001538EF">
      <w:pPr>
        <w:rPr>
          <w:rFonts w:asciiTheme="minorHAnsi" w:hAnsiTheme="minorHAnsi"/>
          <w:sz w:val="20"/>
          <w:szCs w:val="20"/>
          <w:lang w:val="sr-Cyrl-CS" w:eastAsia="sr-Cyrl-CS"/>
        </w:rPr>
      </w:pPr>
    </w:p>
    <w:p w14:paraId="46D433DD" w14:textId="77777777" w:rsidR="001538EF" w:rsidRPr="00EE16CE" w:rsidRDefault="00B44D0C" w:rsidP="00B44D0C">
      <w:pPr>
        <w:pStyle w:val="Heading2"/>
        <w:numPr>
          <w:ilvl w:val="0"/>
          <w:numId w:val="0"/>
        </w:numPr>
        <w:ind w:left="576" w:hanging="576"/>
        <w:rPr>
          <w:rFonts w:asciiTheme="minorHAnsi" w:hAnsiTheme="minorHAnsi"/>
          <w:szCs w:val="20"/>
        </w:rPr>
      </w:pPr>
      <w:bookmarkStart w:id="18" w:name="_Toc135292179"/>
      <w:r w:rsidRPr="00EE16CE">
        <w:rPr>
          <w:rFonts w:asciiTheme="minorHAnsi" w:hAnsiTheme="minorHAnsi"/>
          <w:szCs w:val="20"/>
        </w:rPr>
        <w:t>3.5 . ANALIZA SLOBODNIH NOVČANIH SREDSTAVA FONDA NA DAN 31.12.2023. GODINE</w:t>
      </w:r>
      <w:bookmarkEnd w:id="18"/>
    </w:p>
    <w:p w14:paraId="55D67409" w14:textId="77777777" w:rsidR="001538EF" w:rsidRPr="005767EF" w:rsidRDefault="001538EF" w:rsidP="001538EF">
      <w:pPr>
        <w:jc w:val="center"/>
        <w:rPr>
          <w:rFonts w:asciiTheme="minorHAnsi" w:hAnsiTheme="minorHAnsi"/>
          <w:b/>
          <w:sz w:val="20"/>
          <w:szCs w:val="20"/>
          <w:lang w:val="sr-Cyrl-CS" w:eastAsia="sr-Cyrl-CS"/>
        </w:rPr>
      </w:pPr>
    </w:p>
    <w:p w14:paraId="1F2E5370" w14:textId="77777777" w:rsidR="00B44D0C" w:rsidRDefault="00B44D0C" w:rsidP="00B44D0C">
      <w:pPr>
        <w:autoSpaceDE w:val="0"/>
        <w:autoSpaceDN w:val="0"/>
        <w:adjustRightInd w:val="0"/>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eastAsia="en-US"/>
        </w:rPr>
        <w:t xml:space="preserve">Pravilnikom o ulaganju sredstava Garantnog fonda Republike Srpske koji je donijela Skupština akcionara Fonda 11.03.2021. godine definisani su ciljevi investiranja, načela i pravila ulaganja sredstava Fonda u cilju njegovog razvoja. </w:t>
      </w:r>
    </w:p>
    <w:p w14:paraId="4F43C52E" w14:textId="77777777" w:rsidR="008C6F9F" w:rsidRDefault="008C6F9F" w:rsidP="00B44D0C">
      <w:pPr>
        <w:autoSpaceDE w:val="0"/>
        <w:autoSpaceDN w:val="0"/>
        <w:adjustRightInd w:val="0"/>
        <w:rPr>
          <w:rFonts w:asciiTheme="minorHAnsi" w:eastAsiaTheme="minorHAnsi" w:hAnsiTheme="minorHAnsi"/>
          <w:color w:val="auto"/>
          <w:sz w:val="20"/>
          <w:szCs w:val="20"/>
          <w:lang w:val="sr-Latn-BA" w:eastAsia="en-US"/>
        </w:rPr>
      </w:pPr>
    </w:p>
    <w:p w14:paraId="01E69BF9" w14:textId="77777777" w:rsidR="00266945" w:rsidRDefault="00266945" w:rsidP="00B44D0C">
      <w:pPr>
        <w:autoSpaceDE w:val="0"/>
        <w:autoSpaceDN w:val="0"/>
        <w:adjustRightInd w:val="0"/>
        <w:rPr>
          <w:rFonts w:asciiTheme="minorHAnsi" w:eastAsiaTheme="minorHAnsi" w:hAnsiTheme="minorHAnsi"/>
          <w:color w:val="auto"/>
          <w:sz w:val="20"/>
          <w:szCs w:val="20"/>
          <w:lang w:val="sr-Latn-BA" w:eastAsia="en-US"/>
        </w:rPr>
      </w:pPr>
    </w:p>
    <w:p w14:paraId="4C972923" w14:textId="77777777" w:rsidR="00266945" w:rsidRDefault="00266945" w:rsidP="00B44D0C">
      <w:pPr>
        <w:autoSpaceDE w:val="0"/>
        <w:autoSpaceDN w:val="0"/>
        <w:adjustRightInd w:val="0"/>
        <w:rPr>
          <w:rFonts w:asciiTheme="minorHAnsi" w:eastAsiaTheme="minorHAnsi" w:hAnsiTheme="minorHAnsi"/>
          <w:color w:val="auto"/>
          <w:sz w:val="20"/>
          <w:szCs w:val="20"/>
          <w:lang w:val="sr-Latn-BA" w:eastAsia="en-US"/>
        </w:rPr>
      </w:pPr>
    </w:p>
    <w:p w14:paraId="0A97485A" w14:textId="77777777" w:rsidR="00266945" w:rsidRPr="00266945" w:rsidRDefault="00266945" w:rsidP="00B44D0C">
      <w:pPr>
        <w:autoSpaceDE w:val="0"/>
        <w:autoSpaceDN w:val="0"/>
        <w:adjustRightInd w:val="0"/>
        <w:rPr>
          <w:rFonts w:asciiTheme="minorHAnsi" w:eastAsiaTheme="minorHAnsi" w:hAnsiTheme="minorHAnsi"/>
          <w:color w:val="auto"/>
          <w:sz w:val="20"/>
          <w:szCs w:val="20"/>
          <w:lang w:val="sr-Latn-BA" w:eastAsia="en-US"/>
        </w:rPr>
      </w:pPr>
    </w:p>
    <w:p w14:paraId="75F05936" w14:textId="77777777" w:rsidR="00B44D0C" w:rsidRPr="005767EF" w:rsidRDefault="00B44D0C" w:rsidP="00B44D0C">
      <w:pPr>
        <w:autoSpaceDE w:val="0"/>
        <w:autoSpaceDN w:val="0"/>
        <w:adjustRightInd w:val="0"/>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eastAsia="en-US"/>
        </w:rPr>
        <w:t>Osnovni principi ulaganja zasnivaju se na :</w:t>
      </w:r>
    </w:p>
    <w:p w14:paraId="209B7537"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eastAsia="en-US"/>
        </w:rPr>
        <w:t>usklađenosti sa bazičnim ciljevima društva kao cjeline</w:t>
      </w:r>
    </w:p>
    <w:p w14:paraId="06EC778E"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eastAsia="en-US"/>
        </w:rPr>
        <w:t>usklađenosti sa bazičnim ciljevima Programa ekonomskih reformi Vlade Republike Srpske</w:t>
      </w:r>
    </w:p>
    <w:p w14:paraId="38B33B62"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eastAsia="en-US"/>
        </w:rPr>
        <w:t>potpunom povezanosti ca razvojnom politikom Fonda</w:t>
      </w:r>
    </w:p>
    <w:p w14:paraId="4EF9EC4D"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iCs/>
          <w:color w:val="auto"/>
          <w:sz w:val="20"/>
          <w:szCs w:val="20"/>
          <w:lang w:eastAsia="en-US"/>
        </w:rPr>
        <w:t>objektivnosti u odlučivanju o najpovoljnijem investicionom rješenju</w:t>
      </w:r>
    </w:p>
    <w:p w14:paraId="64EB2DAC"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sigurnosti imovine Fonda (Fond će ulagati u finansijske instrumente emitenata sa visokim kreditnim rejtingom i niskim rizikom)</w:t>
      </w:r>
    </w:p>
    <w:p w14:paraId="2D44084F"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eastAsia="en-US"/>
        </w:rPr>
        <w:t>diversifikacije portfelja</w:t>
      </w:r>
    </w:p>
    <w:p w14:paraId="25FF9CF6" w14:textId="77777777"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eastAsia="en-US"/>
        </w:rPr>
        <w:t>likvidnosti - ulaganje će se vršiti u finansijske instrumente koje je moguće brzo i efikasno kupiti i prodati po relativno ujednačenoj i stabilnoj cijeni kao i finansijske instrumente čiji je novčani tok izvjestan i unaprijed poznat</w:t>
      </w:r>
    </w:p>
    <w:p w14:paraId="5A35502C" w14:textId="77777777" w:rsidR="00B44D0C" w:rsidRPr="00B44D0C"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eastAsia="en-US"/>
        </w:rPr>
        <w:t>profitabilnosti - ulaganje će se vršiti na način da se u strukturi portfelja Fonda nalaze finansijski instrumenti koje, uz uvažavanje prethodnih načela, donose najveći prinos za preuzeti nivo rizika</w:t>
      </w:r>
    </w:p>
    <w:p w14:paraId="4A519AC6" w14:textId="77777777" w:rsidR="00B44D0C" w:rsidRPr="005767EF" w:rsidRDefault="00B44D0C" w:rsidP="00B00123">
      <w:pPr>
        <w:pStyle w:val="ListParagraph"/>
        <w:autoSpaceDE w:val="0"/>
        <w:autoSpaceDN w:val="0"/>
        <w:adjustRightInd w:val="0"/>
        <w:ind w:left="993"/>
        <w:jc w:val="left"/>
        <w:rPr>
          <w:rFonts w:asciiTheme="minorHAnsi" w:eastAsiaTheme="minorHAnsi" w:hAnsiTheme="minorHAnsi"/>
          <w:color w:val="auto"/>
          <w:sz w:val="20"/>
          <w:szCs w:val="20"/>
          <w:lang w:val="sr-Latn-RS" w:eastAsia="en-US"/>
        </w:rPr>
      </w:pPr>
    </w:p>
    <w:p w14:paraId="37AB8242" w14:textId="77777777" w:rsidR="00B44D0C" w:rsidRDefault="00B44D0C" w:rsidP="00B44D0C">
      <w:pPr>
        <w:autoSpaceDE w:val="0"/>
        <w:autoSpaceDN w:val="0"/>
        <w:adjustRightInd w:val="0"/>
        <w:rPr>
          <w:rFonts w:asciiTheme="minorHAnsi" w:eastAsia="Gulim" w:hAnsiTheme="minorHAnsi"/>
          <w:color w:val="auto"/>
          <w:sz w:val="20"/>
          <w:szCs w:val="20"/>
          <w:lang w:val="sr-Cyrl-RS" w:eastAsia="en-US"/>
        </w:rPr>
      </w:pPr>
      <w:r w:rsidRPr="005767EF">
        <w:rPr>
          <w:rFonts w:asciiTheme="minorHAnsi" w:eastAsia="Gulim" w:hAnsiTheme="minorHAnsi"/>
          <w:color w:val="auto"/>
          <w:sz w:val="20"/>
          <w:szCs w:val="20"/>
          <w:lang w:eastAsia="en-US"/>
        </w:rPr>
        <w:t>Cilj investiranja sredstava Garantnog fonda Republike Srpske je da se ostvari dugoročno stabilna stopa prinosa u odnosu na ulaganja Fonda provodeći umjereno konzervativnu investicionu politiku.</w:t>
      </w:r>
    </w:p>
    <w:p w14:paraId="03972131" w14:textId="77777777" w:rsidR="00B44D0C" w:rsidRPr="00266945" w:rsidRDefault="00B44D0C" w:rsidP="00B44D0C">
      <w:pPr>
        <w:autoSpaceDE w:val="0"/>
        <w:autoSpaceDN w:val="0"/>
        <w:adjustRightInd w:val="0"/>
        <w:rPr>
          <w:rFonts w:asciiTheme="minorHAnsi" w:eastAsia="Gulim" w:hAnsiTheme="minorHAnsi"/>
          <w:color w:val="auto"/>
          <w:sz w:val="20"/>
          <w:szCs w:val="20"/>
          <w:lang w:val="sr-Latn-BA" w:eastAsia="en-US"/>
        </w:rPr>
      </w:pPr>
    </w:p>
    <w:p w14:paraId="57E11949" w14:textId="77777777" w:rsidR="00B44D0C" w:rsidRPr="005767EF" w:rsidRDefault="00B44D0C" w:rsidP="00B44D0C">
      <w:pPr>
        <w:autoSpaceDE w:val="0"/>
        <w:autoSpaceDN w:val="0"/>
        <w:adjustRightInd w:val="0"/>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Garantni fond Republike Srpske raspoloživa sredstva može da ulaže u:</w:t>
      </w:r>
    </w:p>
    <w:p w14:paraId="7193E01B" w14:textId="77777777" w:rsidR="00B44D0C" w:rsidRPr="005767EF" w:rsidRDefault="00B44D0C" w:rsidP="00B44D0C">
      <w:pPr>
        <w:autoSpaceDE w:val="0"/>
        <w:autoSpaceDN w:val="0"/>
        <w:adjustRightInd w:val="0"/>
        <w:jc w:val="left"/>
        <w:rPr>
          <w:rFonts w:asciiTheme="minorHAnsi" w:eastAsia="Gulim" w:hAnsiTheme="minorHAnsi"/>
          <w:color w:val="auto"/>
          <w:sz w:val="20"/>
          <w:szCs w:val="20"/>
          <w:lang w:val="sr-Latn-RS" w:eastAsia="en-US"/>
        </w:rPr>
      </w:pPr>
    </w:p>
    <w:p w14:paraId="51095CCD"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oročene depozite u bankama sa sjedištem u Republici Srpskoj</w:t>
      </w:r>
    </w:p>
    <w:p w14:paraId="6F39FB03"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dužničke hartije od vrijednosti čiji je emitent ili garant Republika Srpska</w:t>
      </w:r>
    </w:p>
    <w:p w14:paraId="1E5F9A6D"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obveznice i druge dužničke hartije od vrijednosti koje je izdala ili dala garanciju jedinica lokalne samouprave u Republici Srpskoj</w:t>
      </w:r>
    </w:p>
    <w:p w14:paraId="54B416A5"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obveznice banaka i drugih finansijskih institucija kojima se trguje na organizovanom tržištu hartija od vrijednosti u Republici Srpskoj</w:t>
      </w:r>
    </w:p>
    <w:p w14:paraId="1BD5A9FC"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obveznice privrednih društava kojima se trguje na organizovanom tržištu hartija od vrijednosti u Republici Srpskoj</w:t>
      </w:r>
    </w:p>
    <w:p w14:paraId="6EE6ED8E"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redovne akcije banaka i drugih finansijskih institucija kojima se trguje na organizovanom tržištu hartija od vrijednosti u Republici Srpskoj</w:t>
      </w:r>
    </w:p>
    <w:p w14:paraId="2C344597"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prioritetne akcije banaka i drugih finansijskih institucija kojima se trguje na organizovanom tržištu hartija od vrijednosti u Republici Srpskoj</w:t>
      </w:r>
    </w:p>
    <w:p w14:paraId="6C5E85FF"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eastAsia="en-US"/>
        </w:rPr>
        <w:t>subordinirane obveznice banaka i drugih finansijskih institucija kojima se trguje na organizovanom tržištu hartija od vrijednosti u Republici Srpskoj</w:t>
      </w:r>
    </w:p>
    <w:p w14:paraId="0147872B"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nekretnine; u izuzetnim slučajevima prinudne naplate potraživanja nastalih po osnovu izdatih garancija</w:t>
      </w:r>
    </w:p>
    <w:p w14:paraId="30193618" w14:textId="77777777"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eastAsia="en-US"/>
        </w:rPr>
        <w:t>udjele u otvorenim investicionoim fondovima registrovanim u Republici Srpskoj kojima se trguje na organizovanom tržištu hartija od vrijednosti u Republici Srpskoj</w:t>
      </w:r>
    </w:p>
    <w:p w14:paraId="523CF668" w14:textId="77777777" w:rsidR="00B00123" w:rsidRPr="000F5C04" w:rsidRDefault="00B44D0C" w:rsidP="00B00123">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eastAsia="en-US"/>
        </w:rPr>
        <w:t>akcije privrednih društava sa sjedištem u Republici Srpskoj kojima se trguje na organizovanom tržištu hartija od vrijednosti u Republici Srpskoj</w:t>
      </w:r>
    </w:p>
    <w:p w14:paraId="07C5E843" w14:textId="68BF62E2" w:rsidR="003E21A9" w:rsidRDefault="003E21A9" w:rsidP="008C6F9F">
      <w:pPr>
        <w:rPr>
          <w:rFonts w:asciiTheme="minorHAnsi" w:eastAsia="Calibri" w:hAnsiTheme="minorHAnsi"/>
          <w:color w:val="auto"/>
          <w:sz w:val="20"/>
          <w:szCs w:val="20"/>
          <w:lang w:val="sr-Cyrl-RS" w:eastAsia="en-US"/>
        </w:rPr>
      </w:pPr>
      <w:r w:rsidRPr="005767EF">
        <w:rPr>
          <w:rFonts w:asciiTheme="minorHAnsi" w:eastAsiaTheme="minorHAnsi" w:hAnsiTheme="minorHAnsi"/>
          <w:color w:val="auto"/>
          <w:sz w:val="20"/>
          <w:szCs w:val="20"/>
          <w:lang w:eastAsia="en-US"/>
        </w:rPr>
        <w:t xml:space="preserve">Uvažavajući gore navedene principe, kriterije i mogućnosti ulaganja slobodnih novčanih sredstava, Fond je kontinuirano vršio ulaganja slobodnih novčanih sredstava u dužničke hartije od vrijednosti, te je na dan 31.12.2023. godine više od polovine novčanih sredstava Fonda uloženo u obveznice različitih emitenata, gdje su na prvom mjestu obveznice Republike Srpske. </w:t>
      </w:r>
      <w:r w:rsidR="00A23BC7">
        <w:rPr>
          <w:rFonts w:asciiTheme="minorHAnsi" w:eastAsia="Calibri" w:hAnsiTheme="minorHAnsi"/>
          <w:color w:val="auto"/>
          <w:sz w:val="20"/>
          <w:szCs w:val="20"/>
          <w:lang w:eastAsia="en-US"/>
        </w:rPr>
        <w:t xml:space="preserve"> Manji dio sredstava je u vidu oročenih depozita, dok se preostali dio sredstava nalazi na žiro računima Fonda. Poseban dio sredstava se nalazi u grupi „ostali plasmani“, koji se odnose na sredstva Fonda koja se nalaze na računima 2 banke u stečaju i plasmane za izvršena plaćanja po garancijama. Tabela 27 daje pregled stanja i strukture plasmana Fonda na dan 31.12.2023. godine. </w:t>
      </w:r>
    </w:p>
    <w:p w14:paraId="4E6C007F" w14:textId="77777777" w:rsidR="003E21A9" w:rsidRDefault="003E21A9" w:rsidP="008C6F9F">
      <w:pPr>
        <w:rPr>
          <w:rFonts w:asciiTheme="minorHAnsi" w:eastAsia="Calibri" w:hAnsiTheme="minorHAnsi"/>
          <w:color w:val="auto"/>
          <w:sz w:val="20"/>
          <w:szCs w:val="20"/>
          <w:lang w:val="sr-Latn-BA" w:eastAsia="en-US"/>
        </w:rPr>
      </w:pPr>
    </w:p>
    <w:p w14:paraId="165269CA" w14:textId="77777777" w:rsidR="00266945" w:rsidRDefault="00266945" w:rsidP="008C6F9F">
      <w:pPr>
        <w:rPr>
          <w:rFonts w:asciiTheme="minorHAnsi" w:eastAsia="Calibri" w:hAnsiTheme="minorHAnsi"/>
          <w:color w:val="auto"/>
          <w:sz w:val="20"/>
          <w:szCs w:val="20"/>
          <w:lang w:val="sr-Latn-BA" w:eastAsia="en-US"/>
        </w:rPr>
      </w:pPr>
    </w:p>
    <w:p w14:paraId="105D4C64" w14:textId="77777777" w:rsidR="00266945" w:rsidRDefault="00266945" w:rsidP="008C6F9F">
      <w:pPr>
        <w:rPr>
          <w:rFonts w:asciiTheme="minorHAnsi" w:eastAsia="Calibri" w:hAnsiTheme="minorHAnsi"/>
          <w:color w:val="auto"/>
          <w:sz w:val="20"/>
          <w:szCs w:val="20"/>
          <w:lang w:val="sr-Latn-BA" w:eastAsia="en-US"/>
        </w:rPr>
      </w:pPr>
    </w:p>
    <w:p w14:paraId="7D9F7A5E" w14:textId="77777777" w:rsidR="00266945" w:rsidRDefault="00266945" w:rsidP="008C6F9F">
      <w:pPr>
        <w:rPr>
          <w:rFonts w:asciiTheme="minorHAnsi" w:eastAsia="Calibri" w:hAnsiTheme="minorHAnsi"/>
          <w:color w:val="auto"/>
          <w:sz w:val="20"/>
          <w:szCs w:val="20"/>
          <w:lang w:val="sr-Latn-BA" w:eastAsia="en-US"/>
        </w:rPr>
      </w:pPr>
    </w:p>
    <w:p w14:paraId="5E8F55AA" w14:textId="77777777" w:rsidR="00266945" w:rsidRDefault="00266945" w:rsidP="008C6F9F">
      <w:pPr>
        <w:rPr>
          <w:rFonts w:asciiTheme="minorHAnsi" w:eastAsia="Calibri" w:hAnsiTheme="minorHAnsi"/>
          <w:color w:val="auto"/>
          <w:sz w:val="20"/>
          <w:szCs w:val="20"/>
          <w:lang w:val="sr-Latn-BA" w:eastAsia="en-US"/>
        </w:rPr>
      </w:pPr>
    </w:p>
    <w:p w14:paraId="26B1E078" w14:textId="77777777" w:rsidR="00266945" w:rsidRDefault="00266945" w:rsidP="008C6F9F">
      <w:pPr>
        <w:rPr>
          <w:rFonts w:asciiTheme="minorHAnsi" w:eastAsia="Calibri" w:hAnsiTheme="minorHAnsi"/>
          <w:color w:val="auto"/>
          <w:sz w:val="20"/>
          <w:szCs w:val="20"/>
          <w:lang w:val="sr-Latn-BA" w:eastAsia="en-US"/>
        </w:rPr>
      </w:pPr>
    </w:p>
    <w:p w14:paraId="57BF1122" w14:textId="77777777" w:rsidR="00266945" w:rsidRDefault="00266945" w:rsidP="008C6F9F">
      <w:pPr>
        <w:rPr>
          <w:rFonts w:asciiTheme="minorHAnsi" w:eastAsia="Calibri" w:hAnsiTheme="minorHAnsi"/>
          <w:color w:val="auto"/>
          <w:sz w:val="20"/>
          <w:szCs w:val="20"/>
          <w:lang w:val="sr-Latn-BA" w:eastAsia="en-US"/>
        </w:rPr>
      </w:pPr>
    </w:p>
    <w:p w14:paraId="3DBD507B" w14:textId="77777777" w:rsidR="00266945" w:rsidRDefault="00266945" w:rsidP="008C6F9F">
      <w:pPr>
        <w:rPr>
          <w:rFonts w:asciiTheme="minorHAnsi" w:eastAsia="Calibri" w:hAnsiTheme="minorHAnsi"/>
          <w:color w:val="auto"/>
          <w:sz w:val="20"/>
          <w:szCs w:val="20"/>
          <w:lang w:val="sr-Latn-BA" w:eastAsia="en-US"/>
        </w:rPr>
      </w:pPr>
    </w:p>
    <w:p w14:paraId="09B66946" w14:textId="77777777" w:rsidR="00266945" w:rsidRDefault="00266945" w:rsidP="008C6F9F">
      <w:pPr>
        <w:rPr>
          <w:rFonts w:asciiTheme="minorHAnsi" w:eastAsia="Calibri" w:hAnsiTheme="minorHAnsi"/>
          <w:color w:val="auto"/>
          <w:sz w:val="20"/>
          <w:szCs w:val="20"/>
          <w:lang w:val="sr-Latn-BA" w:eastAsia="en-US"/>
        </w:rPr>
      </w:pPr>
    </w:p>
    <w:p w14:paraId="0939B746" w14:textId="77777777" w:rsidR="00266945" w:rsidRDefault="00266945" w:rsidP="008C6F9F">
      <w:pPr>
        <w:rPr>
          <w:rFonts w:asciiTheme="minorHAnsi" w:eastAsia="Calibri" w:hAnsiTheme="minorHAnsi"/>
          <w:color w:val="auto"/>
          <w:sz w:val="20"/>
          <w:szCs w:val="20"/>
          <w:lang w:val="sr-Latn-BA" w:eastAsia="en-US"/>
        </w:rPr>
      </w:pPr>
    </w:p>
    <w:p w14:paraId="4541EACF" w14:textId="77777777" w:rsidR="00266945" w:rsidRPr="00266945" w:rsidRDefault="00266945" w:rsidP="008C6F9F">
      <w:pPr>
        <w:rPr>
          <w:rFonts w:asciiTheme="minorHAnsi" w:eastAsia="Calibri" w:hAnsiTheme="minorHAnsi"/>
          <w:color w:val="auto"/>
          <w:sz w:val="20"/>
          <w:szCs w:val="20"/>
          <w:lang w:val="sr-Latn-BA" w:eastAsia="en-US"/>
        </w:rPr>
      </w:pPr>
    </w:p>
    <w:p w14:paraId="205BDDC8" w14:textId="77777777" w:rsidR="001538EF" w:rsidRPr="005767EF" w:rsidRDefault="001538EF" w:rsidP="003E21A9">
      <w:pPr>
        <w:jc w:val="center"/>
        <w:rPr>
          <w:rFonts w:asciiTheme="minorHAnsi" w:hAnsiTheme="minorHAnsi"/>
          <w:b/>
          <w:sz w:val="20"/>
          <w:szCs w:val="20"/>
          <w:lang w:val="sr-Cyrl-CS" w:eastAsia="sr-Cyrl-CS"/>
        </w:rPr>
      </w:pPr>
      <w:r w:rsidRPr="005767EF">
        <w:rPr>
          <w:rFonts w:asciiTheme="minorHAnsi" w:hAnsiTheme="minorHAnsi"/>
          <w:b/>
          <w:sz w:val="20"/>
          <w:szCs w:val="20"/>
          <w:lang w:eastAsia="sr-Cyrl-CS"/>
        </w:rPr>
        <w:t>Pregled stanja i strukture slobodnih novčanih sredstava na dan 31.12.2023. godine</w:t>
      </w:r>
    </w:p>
    <w:p w14:paraId="7F580CBB" w14:textId="77777777" w:rsidR="001538EF" w:rsidRPr="005767EF" w:rsidRDefault="001538EF" w:rsidP="001538EF">
      <w:pPr>
        <w:jc w:val="left"/>
        <w:rPr>
          <w:rFonts w:asciiTheme="minorHAnsi" w:hAnsiTheme="minorHAnsi"/>
          <w:b/>
          <w:sz w:val="20"/>
          <w:szCs w:val="20"/>
          <w:lang w:val="sr-Cyrl-CS" w:eastAsia="sr-Cyrl-CS"/>
        </w:rPr>
      </w:pPr>
    </w:p>
    <w:p w14:paraId="6FED6248" w14:textId="77777777" w:rsidR="001538EF" w:rsidRPr="005767EF"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t xml:space="preserve">                  </w:t>
      </w:r>
      <w:r w:rsidR="000401FD">
        <w:rPr>
          <w:rFonts w:asciiTheme="minorHAnsi" w:eastAsia="Calibri" w:hAnsiTheme="minorHAnsi"/>
          <w:b/>
          <w:color w:val="auto"/>
          <w:sz w:val="20"/>
          <w:szCs w:val="20"/>
          <w:lang w:eastAsia="en-US"/>
        </w:rPr>
        <w:t>Tabela 27</w:t>
      </w:r>
    </w:p>
    <w:tbl>
      <w:tblPr>
        <w:tblW w:w="8804" w:type="dxa"/>
        <w:tblInd w:w="93" w:type="dxa"/>
        <w:tblLook w:val="04A0" w:firstRow="1" w:lastRow="0" w:firstColumn="1" w:lastColumn="0" w:noHBand="0" w:noVBand="1"/>
      </w:tblPr>
      <w:tblGrid>
        <w:gridCol w:w="2620"/>
        <w:gridCol w:w="2040"/>
        <w:gridCol w:w="1700"/>
        <w:gridCol w:w="1200"/>
        <w:gridCol w:w="1244"/>
      </w:tblGrid>
      <w:tr w:rsidR="003E21A9" w:rsidRPr="003E21A9" w14:paraId="0732F186" w14:textId="77777777" w:rsidTr="003E21A9">
        <w:trPr>
          <w:trHeight w:val="510"/>
        </w:trPr>
        <w:tc>
          <w:tcPr>
            <w:tcW w:w="2620" w:type="dxa"/>
            <w:tcBorders>
              <w:top w:val="single" w:sz="4" w:space="0" w:color="auto"/>
              <w:left w:val="single" w:sz="4" w:space="0" w:color="auto"/>
              <w:bottom w:val="single" w:sz="4" w:space="0" w:color="auto"/>
              <w:right w:val="single" w:sz="4" w:space="0" w:color="auto"/>
            </w:tcBorders>
            <w:shd w:val="clear" w:color="000000" w:fill="8DB3E2"/>
            <w:noWrap/>
            <w:vAlign w:val="center"/>
            <w:hideMark/>
          </w:tcPr>
          <w:p w14:paraId="00E06A35"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 xml:space="preserve">Vrsta Plasman </w:t>
            </w:r>
          </w:p>
        </w:tc>
        <w:tc>
          <w:tcPr>
            <w:tcW w:w="2040" w:type="dxa"/>
            <w:tcBorders>
              <w:top w:val="single" w:sz="4" w:space="0" w:color="auto"/>
              <w:left w:val="nil"/>
              <w:bottom w:val="single" w:sz="4" w:space="0" w:color="auto"/>
              <w:right w:val="single" w:sz="4" w:space="0" w:color="auto"/>
            </w:tcBorders>
            <w:shd w:val="clear" w:color="000000" w:fill="8DB3E2"/>
            <w:vAlign w:val="center"/>
            <w:hideMark/>
          </w:tcPr>
          <w:p w14:paraId="3C572515" w14:textId="6AC0E85F" w:rsidR="003E21A9" w:rsidRPr="003E21A9" w:rsidRDefault="00266945" w:rsidP="003E21A9">
            <w:pPr>
              <w:jc w:val="center"/>
              <w:rPr>
                <w:rFonts w:ascii="Calibri" w:hAnsi="Calibri"/>
                <w:b/>
                <w:bCs/>
                <w:sz w:val="20"/>
                <w:szCs w:val="20"/>
              </w:rPr>
            </w:pPr>
            <w:r>
              <w:rPr>
                <w:rFonts w:ascii="Calibri" w:hAnsi="Calibri"/>
                <w:b/>
                <w:bCs/>
                <w:sz w:val="20"/>
                <w:szCs w:val="20"/>
              </w:rPr>
              <w:t xml:space="preserve">Stanje na dan </w:t>
            </w:r>
            <w:r w:rsidR="003E21A9" w:rsidRPr="003E21A9">
              <w:rPr>
                <w:rFonts w:ascii="Calibri" w:hAnsi="Calibri"/>
                <w:b/>
                <w:bCs/>
                <w:sz w:val="20"/>
                <w:szCs w:val="20"/>
              </w:rPr>
              <w:t>31.12.2022.</w:t>
            </w:r>
          </w:p>
        </w:tc>
        <w:tc>
          <w:tcPr>
            <w:tcW w:w="1700" w:type="dxa"/>
            <w:tcBorders>
              <w:top w:val="single" w:sz="4" w:space="0" w:color="auto"/>
              <w:left w:val="nil"/>
              <w:bottom w:val="single" w:sz="4" w:space="0" w:color="auto"/>
              <w:right w:val="single" w:sz="4" w:space="0" w:color="auto"/>
            </w:tcBorders>
            <w:shd w:val="clear" w:color="000000" w:fill="8DB3E2"/>
            <w:vAlign w:val="center"/>
            <w:hideMark/>
          </w:tcPr>
          <w:p w14:paraId="76366873" w14:textId="12CC8805" w:rsidR="003E21A9" w:rsidRPr="003E21A9" w:rsidRDefault="00266945" w:rsidP="003E21A9">
            <w:pPr>
              <w:jc w:val="center"/>
              <w:rPr>
                <w:rFonts w:ascii="Calibri" w:hAnsi="Calibri"/>
                <w:b/>
                <w:bCs/>
                <w:sz w:val="20"/>
                <w:szCs w:val="20"/>
              </w:rPr>
            </w:pPr>
            <w:r>
              <w:rPr>
                <w:rFonts w:ascii="Calibri" w:hAnsi="Calibri"/>
                <w:b/>
                <w:bCs/>
                <w:sz w:val="20"/>
                <w:szCs w:val="20"/>
              </w:rPr>
              <w:t>Stanje na dan</w:t>
            </w:r>
            <w:r w:rsidR="003E21A9" w:rsidRPr="003E21A9">
              <w:rPr>
                <w:rFonts w:ascii="Calibri" w:hAnsi="Calibri"/>
                <w:b/>
                <w:bCs/>
                <w:sz w:val="20"/>
                <w:szCs w:val="20"/>
              </w:rPr>
              <w:t xml:space="preserve"> 31.12.2023.</w:t>
            </w:r>
          </w:p>
        </w:tc>
        <w:tc>
          <w:tcPr>
            <w:tcW w:w="1200" w:type="dxa"/>
            <w:tcBorders>
              <w:top w:val="single" w:sz="4" w:space="0" w:color="auto"/>
              <w:left w:val="nil"/>
              <w:bottom w:val="single" w:sz="4" w:space="0" w:color="auto"/>
              <w:right w:val="single" w:sz="4" w:space="0" w:color="auto"/>
            </w:tcBorders>
            <w:shd w:val="clear" w:color="000000" w:fill="8DB3E2"/>
            <w:vAlign w:val="center"/>
            <w:hideMark/>
          </w:tcPr>
          <w:p w14:paraId="2051F692"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 xml:space="preserve">Indeks </w:t>
            </w:r>
          </w:p>
        </w:tc>
        <w:tc>
          <w:tcPr>
            <w:tcW w:w="1244" w:type="dxa"/>
            <w:tcBorders>
              <w:top w:val="single" w:sz="4" w:space="0" w:color="auto"/>
              <w:left w:val="nil"/>
              <w:bottom w:val="single" w:sz="4" w:space="0" w:color="auto"/>
              <w:right w:val="single" w:sz="4" w:space="0" w:color="auto"/>
            </w:tcBorders>
            <w:shd w:val="clear" w:color="000000" w:fill="8DB3E2"/>
            <w:vAlign w:val="center"/>
            <w:hideMark/>
          </w:tcPr>
          <w:p w14:paraId="036CFD02" w14:textId="77777777" w:rsidR="003E21A9" w:rsidRPr="003E21A9" w:rsidRDefault="003E21A9" w:rsidP="003E21A9">
            <w:pPr>
              <w:jc w:val="center"/>
              <w:rPr>
                <w:rFonts w:ascii="Calibri" w:hAnsi="Calibri"/>
                <w:b/>
                <w:bCs/>
                <w:sz w:val="20"/>
                <w:szCs w:val="20"/>
              </w:rPr>
            </w:pPr>
            <w:r w:rsidRPr="003E21A9">
              <w:rPr>
                <w:rFonts w:ascii="Calibri" w:hAnsi="Calibri"/>
                <w:b/>
                <w:bCs/>
                <w:sz w:val="20"/>
                <w:szCs w:val="20"/>
              </w:rPr>
              <w:t>Struktura</w:t>
            </w:r>
          </w:p>
        </w:tc>
      </w:tr>
      <w:tr w:rsidR="003E21A9" w:rsidRPr="003E21A9" w14:paraId="33495F8B"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48685335" w14:textId="28F39CF8" w:rsidR="003E21A9" w:rsidRPr="003E21A9" w:rsidRDefault="00266945" w:rsidP="003E21A9">
            <w:pPr>
              <w:jc w:val="left"/>
              <w:rPr>
                <w:rFonts w:ascii="Calibri" w:hAnsi="Calibri"/>
                <w:sz w:val="20"/>
                <w:szCs w:val="20"/>
              </w:rPr>
            </w:pPr>
            <w:r>
              <w:rPr>
                <w:rFonts w:ascii="Calibri" w:hAnsi="Calibri"/>
                <w:sz w:val="20"/>
                <w:szCs w:val="20"/>
              </w:rPr>
              <w:t>Žiro računi Fonda</w:t>
            </w:r>
          </w:p>
        </w:tc>
        <w:tc>
          <w:tcPr>
            <w:tcW w:w="2040" w:type="dxa"/>
            <w:tcBorders>
              <w:top w:val="nil"/>
              <w:left w:val="nil"/>
              <w:bottom w:val="single" w:sz="4" w:space="0" w:color="auto"/>
              <w:right w:val="single" w:sz="4" w:space="0" w:color="auto"/>
            </w:tcBorders>
            <w:shd w:val="clear" w:color="auto" w:fill="auto"/>
            <w:noWrap/>
            <w:vAlign w:val="center"/>
            <w:hideMark/>
          </w:tcPr>
          <w:p w14:paraId="654CF490" w14:textId="77777777" w:rsidR="003E21A9" w:rsidRPr="003E21A9" w:rsidRDefault="003E21A9" w:rsidP="003E21A9">
            <w:pPr>
              <w:jc w:val="right"/>
              <w:rPr>
                <w:rFonts w:ascii="Calibri" w:hAnsi="Calibri"/>
                <w:sz w:val="20"/>
                <w:szCs w:val="20"/>
              </w:rPr>
            </w:pPr>
            <w:r w:rsidRPr="003E21A9">
              <w:rPr>
                <w:rFonts w:ascii="Calibri" w:hAnsi="Calibri"/>
                <w:sz w:val="20"/>
                <w:szCs w:val="20"/>
              </w:rPr>
              <w:t>1.385.215,51</w:t>
            </w:r>
          </w:p>
        </w:tc>
        <w:tc>
          <w:tcPr>
            <w:tcW w:w="1700" w:type="dxa"/>
            <w:tcBorders>
              <w:top w:val="nil"/>
              <w:left w:val="nil"/>
              <w:bottom w:val="single" w:sz="4" w:space="0" w:color="auto"/>
              <w:right w:val="single" w:sz="4" w:space="0" w:color="auto"/>
            </w:tcBorders>
            <w:shd w:val="clear" w:color="auto" w:fill="auto"/>
            <w:vAlign w:val="center"/>
            <w:hideMark/>
          </w:tcPr>
          <w:p w14:paraId="544F301F" w14:textId="77777777" w:rsidR="003E21A9" w:rsidRPr="003E21A9" w:rsidRDefault="003E21A9" w:rsidP="003E21A9">
            <w:pPr>
              <w:jc w:val="right"/>
              <w:rPr>
                <w:rFonts w:ascii="Calibri" w:hAnsi="Calibri"/>
                <w:sz w:val="20"/>
                <w:szCs w:val="20"/>
              </w:rPr>
            </w:pPr>
            <w:r w:rsidRPr="003E21A9">
              <w:rPr>
                <w:rFonts w:ascii="Calibri" w:hAnsi="Calibri"/>
                <w:sz w:val="20"/>
                <w:szCs w:val="20"/>
              </w:rPr>
              <w:t>853.712,34</w:t>
            </w:r>
          </w:p>
        </w:tc>
        <w:tc>
          <w:tcPr>
            <w:tcW w:w="1200" w:type="dxa"/>
            <w:tcBorders>
              <w:top w:val="nil"/>
              <w:left w:val="nil"/>
              <w:bottom w:val="single" w:sz="4" w:space="0" w:color="auto"/>
              <w:right w:val="single" w:sz="4" w:space="0" w:color="auto"/>
            </w:tcBorders>
            <w:shd w:val="clear" w:color="auto" w:fill="auto"/>
            <w:vAlign w:val="center"/>
            <w:hideMark/>
          </w:tcPr>
          <w:p w14:paraId="7CF6001B" w14:textId="77777777" w:rsidR="003E21A9" w:rsidRPr="003E21A9" w:rsidRDefault="003E21A9" w:rsidP="003E21A9">
            <w:pPr>
              <w:jc w:val="right"/>
              <w:rPr>
                <w:rFonts w:ascii="Calibri" w:hAnsi="Calibri"/>
                <w:sz w:val="20"/>
                <w:szCs w:val="20"/>
              </w:rPr>
            </w:pPr>
            <w:r w:rsidRPr="003E21A9">
              <w:rPr>
                <w:rFonts w:ascii="Calibri" w:hAnsi="Calibri"/>
                <w:sz w:val="20"/>
                <w:szCs w:val="20"/>
              </w:rPr>
              <w:t>61,63</w:t>
            </w:r>
          </w:p>
        </w:tc>
        <w:tc>
          <w:tcPr>
            <w:tcW w:w="1244" w:type="dxa"/>
            <w:tcBorders>
              <w:top w:val="nil"/>
              <w:left w:val="nil"/>
              <w:bottom w:val="single" w:sz="4" w:space="0" w:color="auto"/>
              <w:right w:val="single" w:sz="4" w:space="0" w:color="auto"/>
            </w:tcBorders>
            <w:shd w:val="clear" w:color="auto" w:fill="auto"/>
            <w:noWrap/>
            <w:vAlign w:val="bottom"/>
            <w:hideMark/>
          </w:tcPr>
          <w:p w14:paraId="046F0CC4" w14:textId="77777777" w:rsidR="003E21A9" w:rsidRPr="003E21A9" w:rsidRDefault="003E21A9" w:rsidP="003E21A9">
            <w:pPr>
              <w:jc w:val="right"/>
              <w:rPr>
                <w:rFonts w:ascii="Calibri" w:hAnsi="Calibri"/>
                <w:sz w:val="20"/>
                <w:szCs w:val="20"/>
              </w:rPr>
            </w:pPr>
            <w:r w:rsidRPr="003E21A9">
              <w:rPr>
                <w:rFonts w:ascii="Calibri" w:hAnsi="Calibri"/>
                <w:sz w:val="20"/>
                <w:szCs w:val="20"/>
              </w:rPr>
              <w:t>4,34%</w:t>
            </w:r>
          </w:p>
        </w:tc>
      </w:tr>
      <w:tr w:rsidR="003E21A9" w:rsidRPr="003E21A9" w14:paraId="61F577E8"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20E33502" w14:textId="712E0851" w:rsidR="003E21A9" w:rsidRPr="003E21A9" w:rsidRDefault="00266945" w:rsidP="003E21A9">
            <w:pPr>
              <w:jc w:val="left"/>
              <w:rPr>
                <w:rFonts w:ascii="Calibri" w:hAnsi="Calibri"/>
                <w:sz w:val="20"/>
                <w:szCs w:val="20"/>
              </w:rPr>
            </w:pPr>
            <w:r>
              <w:rPr>
                <w:rFonts w:ascii="Calibri" w:hAnsi="Calibri"/>
                <w:sz w:val="20"/>
                <w:szCs w:val="20"/>
              </w:rPr>
              <w:t>Oročena štednja</w:t>
            </w:r>
          </w:p>
        </w:tc>
        <w:tc>
          <w:tcPr>
            <w:tcW w:w="2040" w:type="dxa"/>
            <w:tcBorders>
              <w:top w:val="nil"/>
              <w:left w:val="nil"/>
              <w:bottom w:val="single" w:sz="4" w:space="0" w:color="auto"/>
              <w:right w:val="single" w:sz="4" w:space="0" w:color="auto"/>
            </w:tcBorders>
            <w:shd w:val="clear" w:color="auto" w:fill="auto"/>
            <w:noWrap/>
            <w:vAlign w:val="center"/>
            <w:hideMark/>
          </w:tcPr>
          <w:p w14:paraId="47755B94" w14:textId="77777777" w:rsidR="003E21A9" w:rsidRPr="003E21A9" w:rsidRDefault="003E21A9" w:rsidP="003E21A9">
            <w:pPr>
              <w:jc w:val="right"/>
              <w:rPr>
                <w:rFonts w:ascii="Calibri" w:hAnsi="Calibri"/>
                <w:sz w:val="20"/>
                <w:szCs w:val="20"/>
              </w:rPr>
            </w:pPr>
            <w:r w:rsidRPr="003E21A9">
              <w:rPr>
                <w:rFonts w:ascii="Calibri" w:hAnsi="Calibri"/>
                <w:sz w:val="20"/>
                <w:szCs w:val="20"/>
              </w:rPr>
              <w:t>600.000,00</w:t>
            </w:r>
          </w:p>
        </w:tc>
        <w:tc>
          <w:tcPr>
            <w:tcW w:w="1700" w:type="dxa"/>
            <w:tcBorders>
              <w:top w:val="nil"/>
              <w:left w:val="nil"/>
              <w:bottom w:val="single" w:sz="4" w:space="0" w:color="auto"/>
              <w:right w:val="single" w:sz="4" w:space="0" w:color="auto"/>
            </w:tcBorders>
            <w:shd w:val="clear" w:color="auto" w:fill="auto"/>
            <w:vAlign w:val="center"/>
            <w:hideMark/>
          </w:tcPr>
          <w:p w14:paraId="7C470C09" w14:textId="77777777" w:rsidR="003E21A9" w:rsidRPr="003E21A9" w:rsidRDefault="003E21A9" w:rsidP="003E21A9">
            <w:pPr>
              <w:jc w:val="right"/>
              <w:rPr>
                <w:rFonts w:ascii="Calibri" w:hAnsi="Calibri"/>
                <w:sz w:val="20"/>
                <w:szCs w:val="20"/>
              </w:rPr>
            </w:pPr>
            <w:r w:rsidRPr="003E21A9">
              <w:rPr>
                <w:rFonts w:ascii="Calibri" w:hAnsi="Calibri"/>
                <w:sz w:val="20"/>
                <w:szCs w:val="20"/>
              </w:rPr>
              <w:t>100.000,00</w:t>
            </w:r>
          </w:p>
        </w:tc>
        <w:tc>
          <w:tcPr>
            <w:tcW w:w="1200" w:type="dxa"/>
            <w:tcBorders>
              <w:top w:val="nil"/>
              <w:left w:val="nil"/>
              <w:bottom w:val="single" w:sz="4" w:space="0" w:color="auto"/>
              <w:right w:val="single" w:sz="4" w:space="0" w:color="auto"/>
            </w:tcBorders>
            <w:shd w:val="clear" w:color="auto" w:fill="auto"/>
            <w:vAlign w:val="center"/>
            <w:hideMark/>
          </w:tcPr>
          <w:p w14:paraId="4CA5BC37" w14:textId="77777777" w:rsidR="003E21A9" w:rsidRPr="003E21A9" w:rsidRDefault="003E21A9" w:rsidP="003E21A9">
            <w:pPr>
              <w:jc w:val="right"/>
              <w:rPr>
                <w:rFonts w:ascii="Calibri" w:hAnsi="Calibri"/>
                <w:sz w:val="20"/>
                <w:szCs w:val="20"/>
              </w:rPr>
            </w:pPr>
            <w:r w:rsidRPr="003E21A9">
              <w:rPr>
                <w:rFonts w:ascii="Calibri" w:hAnsi="Calibri"/>
                <w:sz w:val="20"/>
                <w:szCs w:val="20"/>
              </w:rPr>
              <w:t>16,67</w:t>
            </w:r>
          </w:p>
        </w:tc>
        <w:tc>
          <w:tcPr>
            <w:tcW w:w="1244" w:type="dxa"/>
            <w:tcBorders>
              <w:top w:val="nil"/>
              <w:left w:val="nil"/>
              <w:bottom w:val="single" w:sz="4" w:space="0" w:color="auto"/>
              <w:right w:val="single" w:sz="4" w:space="0" w:color="auto"/>
            </w:tcBorders>
            <w:shd w:val="clear" w:color="auto" w:fill="auto"/>
            <w:noWrap/>
            <w:vAlign w:val="bottom"/>
            <w:hideMark/>
          </w:tcPr>
          <w:p w14:paraId="0D326911" w14:textId="77777777" w:rsidR="003E21A9" w:rsidRPr="003E21A9" w:rsidRDefault="003E21A9" w:rsidP="003E21A9">
            <w:pPr>
              <w:jc w:val="right"/>
              <w:rPr>
                <w:rFonts w:ascii="Calibri" w:hAnsi="Calibri"/>
                <w:sz w:val="20"/>
                <w:szCs w:val="20"/>
              </w:rPr>
            </w:pPr>
            <w:r w:rsidRPr="003E21A9">
              <w:rPr>
                <w:rFonts w:ascii="Calibri" w:hAnsi="Calibri"/>
                <w:sz w:val="20"/>
                <w:szCs w:val="20"/>
              </w:rPr>
              <w:t>0,51%</w:t>
            </w:r>
          </w:p>
        </w:tc>
      </w:tr>
      <w:tr w:rsidR="003E21A9" w:rsidRPr="003E21A9" w14:paraId="7B6FDE23"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2105EB1B" w14:textId="77777777" w:rsidR="003E21A9" w:rsidRPr="003E21A9" w:rsidRDefault="003E21A9" w:rsidP="003E21A9">
            <w:pPr>
              <w:jc w:val="left"/>
              <w:rPr>
                <w:rFonts w:ascii="Calibri" w:hAnsi="Calibri"/>
                <w:sz w:val="20"/>
                <w:szCs w:val="20"/>
              </w:rPr>
            </w:pPr>
            <w:r w:rsidRPr="003E21A9">
              <w:rPr>
                <w:rFonts w:ascii="Calibri" w:hAnsi="Calibri"/>
                <w:sz w:val="20"/>
                <w:szCs w:val="20"/>
              </w:rPr>
              <w:t>Ulaganja u dužničke HOV</w:t>
            </w:r>
          </w:p>
        </w:tc>
        <w:tc>
          <w:tcPr>
            <w:tcW w:w="2040" w:type="dxa"/>
            <w:tcBorders>
              <w:top w:val="nil"/>
              <w:left w:val="nil"/>
              <w:bottom w:val="single" w:sz="4" w:space="0" w:color="auto"/>
              <w:right w:val="single" w:sz="4" w:space="0" w:color="auto"/>
            </w:tcBorders>
            <w:shd w:val="clear" w:color="auto" w:fill="auto"/>
            <w:noWrap/>
            <w:vAlign w:val="center"/>
            <w:hideMark/>
          </w:tcPr>
          <w:p w14:paraId="7B192CE4" w14:textId="77777777" w:rsidR="003E21A9" w:rsidRPr="003E21A9" w:rsidRDefault="003E21A9" w:rsidP="003E21A9">
            <w:pPr>
              <w:jc w:val="right"/>
              <w:rPr>
                <w:rFonts w:ascii="Calibri" w:hAnsi="Calibri"/>
                <w:sz w:val="20"/>
                <w:szCs w:val="20"/>
              </w:rPr>
            </w:pPr>
            <w:r w:rsidRPr="003E21A9">
              <w:rPr>
                <w:rFonts w:ascii="Calibri" w:hAnsi="Calibri"/>
                <w:sz w:val="20"/>
                <w:szCs w:val="20"/>
              </w:rPr>
              <w:t>11.287.749,60</w:t>
            </w:r>
          </w:p>
        </w:tc>
        <w:tc>
          <w:tcPr>
            <w:tcW w:w="1700" w:type="dxa"/>
            <w:tcBorders>
              <w:top w:val="nil"/>
              <w:left w:val="nil"/>
              <w:bottom w:val="single" w:sz="4" w:space="0" w:color="auto"/>
              <w:right w:val="single" w:sz="4" w:space="0" w:color="auto"/>
            </w:tcBorders>
            <w:shd w:val="clear" w:color="auto" w:fill="auto"/>
            <w:vAlign w:val="center"/>
            <w:hideMark/>
          </w:tcPr>
          <w:p w14:paraId="0FDC2EFA" w14:textId="77777777" w:rsidR="003E21A9" w:rsidRPr="003E21A9" w:rsidRDefault="003E21A9" w:rsidP="003E21A9">
            <w:pPr>
              <w:jc w:val="right"/>
              <w:rPr>
                <w:rFonts w:ascii="Calibri" w:hAnsi="Calibri"/>
                <w:sz w:val="20"/>
                <w:szCs w:val="20"/>
              </w:rPr>
            </w:pPr>
            <w:r w:rsidRPr="003E21A9">
              <w:rPr>
                <w:rFonts w:ascii="Calibri" w:hAnsi="Calibri"/>
                <w:sz w:val="20"/>
                <w:szCs w:val="20"/>
              </w:rPr>
              <w:t>11.506.846,34</w:t>
            </w:r>
          </w:p>
        </w:tc>
        <w:tc>
          <w:tcPr>
            <w:tcW w:w="1200" w:type="dxa"/>
            <w:tcBorders>
              <w:top w:val="nil"/>
              <w:left w:val="nil"/>
              <w:bottom w:val="single" w:sz="4" w:space="0" w:color="auto"/>
              <w:right w:val="single" w:sz="4" w:space="0" w:color="auto"/>
            </w:tcBorders>
            <w:shd w:val="clear" w:color="auto" w:fill="auto"/>
            <w:vAlign w:val="center"/>
            <w:hideMark/>
          </w:tcPr>
          <w:p w14:paraId="0D02E1F3" w14:textId="77777777" w:rsidR="003E21A9" w:rsidRPr="003E21A9" w:rsidRDefault="003E21A9" w:rsidP="003E21A9">
            <w:pPr>
              <w:jc w:val="right"/>
              <w:rPr>
                <w:rFonts w:ascii="Calibri" w:hAnsi="Calibri"/>
                <w:sz w:val="20"/>
                <w:szCs w:val="20"/>
              </w:rPr>
            </w:pPr>
            <w:r w:rsidRPr="003E21A9">
              <w:rPr>
                <w:rFonts w:ascii="Calibri" w:hAnsi="Calibri"/>
                <w:sz w:val="20"/>
                <w:szCs w:val="20"/>
              </w:rPr>
              <w:t>101,94</w:t>
            </w:r>
          </w:p>
        </w:tc>
        <w:tc>
          <w:tcPr>
            <w:tcW w:w="1244" w:type="dxa"/>
            <w:tcBorders>
              <w:top w:val="nil"/>
              <w:left w:val="nil"/>
              <w:bottom w:val="single" w:sz="4" w:space="0" w:color="auto"/>
              <w:right w:val="single" w:sz="4" w:space="0" w:color="auto"/>
            </w:tcBorders>
            <w:shd w:val="clear" w:color="auto" w:fill="auto"/>
            <w:noWrap/>
            <w:vAlign w:val="bottom"/>
            <w:hideMark/>
          </w:tcPr>
          <w:p w14:paraId="42A2D270" w14:textId="77777777" w:rsidR="003E21A9" w:rsidRPr="003E21A9" w:rsidRDefault="003E21A9" w:rsidP="003E21A9">
            <w:pPr>
              <w:jc w:val="right"/>
              <w:rPr>
                <w:rFonts w:ascii="Calibri" w:hAnsi="Calibri"/>
                <w:sz w:val="20"/>
                <w:szCs w:val="20"/>
              </w:rPr>
            </w:pPr>
            <w:r w:rsidRPr="003E21A9">
              <w:rPr>
                <w:rFonts w:ascii="Calibri" w:hAnsi="Calibri"/>
                <w:sz w:val="20"/>
                <w:szCs w:val="20"/>
              </w:rPr>
              <w:t>58,48%</w:t>
            </w:r>
          </w:p>
        </w:tc>
      </w:tr>
      <w:tr w:rsidR="003E21A9" w:rsidRPr="003E21A9" w14:paraId="5DC64261" w14:textId="77777777" w:rsidTr="003E21A9">
        <w:trPr>
          <w:trHeight w:val="315"/>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14:paraId="0DA9E18C" w14:textId="3058194C" w:rsidR="003E21A9" w:rsidRPr="003E21A9" w:rsidRDefault="00266945" w:rsidP="003E21A9">
            <w:pPr>
              <w:jc w:val="left"/>
              <w:rPr>
                <w:rFonts w:ascii="Calibri" w:hAnsi="Calibri"/>
                <w:sz w:val="20"/>
                <w:szCs w:val="20"/>
              </w:rPr>
            </w:pPr>
            <w:r>
              <w:rPr>
                <w:rFonts w:ascii="Calibri" w:hAnsi="Calibri"/>
                <w:sz w:val="20"/>
                <w:szCs w:val="20"/>
              </w:rPr>
              <w:t>Ostali plasmani</w:t>
            </w:r>
          </w:p>
        </w:tc>
        <w:tc>
          <w:tcPr>
            <w:tcW w:w="2040" w:type="dxa"/>
            <w:tcBorders>
              <w:top w:val="nil"/>
              <w:left w:val="nil"/>
              <w:bottom w:val="single" w:sz="4" w:space="0" w:color="auto"/>
              <w:right w:val="single" w:sz="4" w:space="0" w:color="auto"/>
            </w:tcBorders>
            <w:shd w:val="clear" w:color="auto" w:fill="auto"/>
            <w:noWrap/>
            <w:vAlign w:val="center"/>
            <w:hideMark/>
          </w:tcPr>
          <w:p w14:paraId="493E8303" w14:textId="77777777" w:rsidR="003E21A9" w:rsidRPr="003E21A9" w:rsidRDefault="003E21A9" w:rsidP="003E21A9">
            <w:pPr>
              <w:jc w:val="right"/>
              <w:rPr>
                <w:rFonts w:ascii="Calibri" w:hAnsi="Calibri"/>
                <w:sz w:val="20"/>
                <w:szCs w:val="20"/>
              </w:rPr>
            </w:pPr>
            <w:r w:rsidRPr="003E21A9">
              <w:rPr>
                <w:rFonts w:ascii="Calibri" w:hAnsi="Calibri"/>
                <w:sz w:val="20"/>
                <w:szCs w:val="20"/>
              </w:rPr>
              <w:t>7.315.476,81</w:t>
            </w:r>
          </w:p>
        </w:tc>
        <w:tc>
          <w:tcPr>
            <w:tcW w:w="1700" w:type="dxa"/>
            <w:tcBorders>
              <w:top w:val="nil"/>
              <w:left w:val="nil"/>
              <w:bottom w:val="single" w:sz="4" w:space="0" w:color="auto"/>
              <w:right w:val="single" w:sz="4" w:space="0" w:color="auto"/>
            </w:tcBorders>
            <w:shd w:val="clear" w:color="auto" w:fill="auto"/>
            <w:vAlign w:val="center"/>
            <w:hideMark/>
          </w:tcPr>
          <w:p w14:paraId="7E34EB0B" w14:textId="77777777" w:rsidR="003E21A9" w:rsidRPr="003E21A9" w:rsidRDefault="003E21A9" w:rsidP="003E21A9">
            <w:pPr>
              <w:jc w:val="right"/>
              <w:rPr>
                <w:rFonts w:ascii="Calibri" w:hAnsi="Calibri"/>
                <w:sz w:val="20"/>
                <w:szCs w:val="20"/>
              </w:rPr>
            </w:pPr>
            <w:r w:rsidRPr="003E21A9">
              <w:rPr>
                <w:rFonts w:ascii="Calibri" w:hAnsi="Calibri"/>
                <w:sz w:val="20"/>
                <w:szCs w:val="20"/>
              </w:rPr>
              <w:t>7.216.790,89</w:t>
            </w:r>
          </w:p>
        </w:tc>
        <w:tc>
          <w:tcPr>
            <w:tcW w:w="1200" w:type="dxa"/>
            <w:tcBorders>
              <w:top w:val="nil"/>
              <w:left w:val="nil"/>
              <w:bottom w:val="single" w:sz="4" w:space="0" w:color="auto"/>
              <w:right w:val="single" w:sz="4" w:space="0" w:color="auto"/>
            </w:tcBorders>
            <w:shd w:val="clear" w:color="auto" w:fill="auto"/>
            <w:vAlign w:val="center"/>
            <w:hideMark/>
          </w:tcPr>
          <w:p w14:paraId="4F2A06D9" w14:textId="77777777" w:rsidR="003E21A9" w:rsidRPr="003E21A9" w:rsidRDefault="003E21A9" w:rsidP="003E21A9">
            <w:pPr>
              <w:jc w:val="right"/>
              <w:rPr>
                <w:rFonts w:ascii="Calibri" w:hAnsi="Calibri"/>
                <w:sz w:val="20"/>
                <w:szCs w:val="20"/>
              </w:rPr>
            </w:pPr>
            <w:r w:rsidRPr="003E21A9">
              <w:rPr>
                <w:rFonts w:ascii="Calibri" w:hAnsi="Calibri"/>
                <w:sz w:val="20"/>
                <w:szCs w:val="20"/>
              </w:rPr>
              <w:t>98,65</w:t>
            </w:r>
          </w:p>
        </w:tc>
        <w:tc>
          <w:tcPr>
            <w:tcW w:w="1244" w:type="dxa"/>
            <w:tcBorders>
              <w:top w:val="nil"/>
              <w:left w:val="nil"/>
              <w:bottom w:val="single" w:sz="4" w:space="0" w:color="auto"/>
              <w:right w:val="single" w:sz="4" w:space="0" w:color="auto"/>
            </w:tcBorders>
            <w:shd w:val="clear" w:color="auto" w:fill="auto"/>
            <w:noWrap/>
            <w:vAlign w:val="bottom"/>
            <w:hideMark/>
          </w:tcPr>
          <w:p w14:paraId="1A55846E" w14:textId="77777777" w:rsidR="003E21A9" w:rsidRPr="003E21A9" w:rsidRDefault="003E21A9" w:rsidP="003E21A9">
            <w:pPr>
              <w:jc w:val="right"/>
              <w:rPr>
                <w:rFonts w:ascii="Calibri" w:hAnsi="Calibri"/>
                <w:sz w:val="20"/>
                <w:szCs w:val="20"/>
              </w:rPr>
            </w:pPr>
            <w:r w:rsidRPr="003E21A9">
              <w:rPr>
                <w:rFonts w:ascii="Calibri" w:hAnsi="Calibri"/>
                <w:sz w:val="20"/>
                <w:szCs w:val="20"/>
              </w:rPr>
              <w:t>36,68%</w:t>
            </w:r>
          </w:p>
        </w:tc>
      </w:tr>
      <w:tr w:rsidR="003E21A9" w:rsidRPr="003E21A9" w14:paraId="0AA17DFA" w14:textId="77777777" w:rsidTr="003E21A9">
        <w:trPr>
          <w:trHeight w:val="315"/>
        </w:trPr>
        <w:tc>
          <w:tcPr>
            <w:tcW w:w="2620" w:type="dxa"/>
            <w:tcBorders>
              <w:top w:val="nil"/>
              <w:left w:val="single" w:sz="4" w:space="0" w:color="auto"/>
              <w:bottom w:val="single" w:sz="4" w:space="0" w:color="auto"/>
              <w:right w:val="single" w:sz="4" w:space="0" w:color="auto"/>
            </w:tcBorders>
            <w:shd w:val="clear" w:color="000000" w:fill="8DB3E2"/>
            <w:noWrap/>
            <w:vAlign w:val="center"/>
            <w:hideMark/>
          </w:tcPr>
          <w:p w14:paraId="19ED7BF3" w14:textId="25A4AAED" w:rsidR="003E21A9" w:rsidRPr="003E21A9" w:rsidRDefault="00266945" w:rsidP="003E21A9">
            <w:pPr>
              <w:jc w:val="left"/>
              <w:rPr>
                <w:rFonts w:ascii="Calibri" w:hAnsi="Calibri"/>
                <w:b/>
                <w:bCs/>
                <w:sz w:val="20"/>
                <w:szCs w:val="20"/>
              </w:rPr>
            </w:pPr>
            <w:r>
              <w:rPr>
                <w:rFonts w:ascii="Calibri" w:hAnsi="Calibri"/>
                <w:b/>
                <w:bCs/>
                <w:sz w:val="20"/>
                <w:szCs w:val="20"/>
              </w:rPr>
              <w:t>Sveukupno</w:t>
            </w:r>
            <w:r w:rsidR="003E21A9" w:rsidRPr="003E21A9">
              <w:rPr>
                <w:rFonts w:ascii="Calibri" w:hAnsi="Calibri"/>
                <w:b/>
                <w:bCs/>
                <w:sz w:val="20"/>
                <w:szCs w:val="20"/>
              </w:rPr>
              <w:t xml:space="preserve"> </w:t>
            </w:r>
          </w:p>
        </w:tc>
        <w:tc>
          <w:tcPr>
            <w:tcW w:w="2040" w:type="dxa"/>
            <w:tcBorders>
              <w:top w:val="nil"/>
              <w:left w:val="nil"/>
              <w:bottom w:val="single" w:sz="4" w:space="0" w:color="auto"/>
              <w:right w:val="single" w:sz="4" w:space="0" w:color="auto"/>
            </w:tcBorders>
            <w:shd w:val="clear" w:color="000000" w:fill="8DB3E2"/>
            <w:noWrap/>
            <w:vAlign w:val="center"/>
            <w:hideMark/>
          </w:tcPr>
          <w:p w14:paraId="46B8E4A8"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rPr>
              <w:t>20.588.441,92</w:t>
            </w:r>
          </w:p>
        </w:tc>
        <w:tc>
          <w:tcPr>
            <w:tcW w:w="1700" w:type="dxa"/>
            <w:tcBorders>
              <w:top w:val="nil"/>
              <w:left w:val="nil"/>
              <w:bottom w:val="single" w:sz="4" w:space="0" w:color="auto"/>
              <w:right w:val="single" w:sz="4" w:space="0" w:color="auto"/>
            </w:tcBorders>
            <w:shd w:val="clear" w:color="000000" w:fill="8DB3E2"/>
            <w:noWrap/>
            <w:vAlign w:val="center"/>
            <w:hideMark/>
          </w:tcPr>
          <w:p w14:paraId="3E28D088"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rPr>
              <w:t>19.677.349,57</w:t>
            </w:r>
          </w:p>
        </w:tc>
        <w:tc>
          <w:tcPr>
            <w:tcW w:w="1200" w:type="dxa"/>
            <w:tcBorders>
              <w:top w:val="nil"/>
              <w:left w:val="nil"/>
              <w:bottom w:val="single" w:sz="4" w:space="0" w:color="auto"/>
              <w:right w:val="single" w:sz="4" w:space="0" w:color="auto"/>
            </w:tcBorders>
            <w:shd w:val="clear" w:color="000000" w:fill="8DB4E2"/>
            <w:vAlign w:val="center"/>
            <w:hideMark/>
          </w:tcPr>
          <w:p w14:paraId="3ED4C088"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rPr>
              <w:t>95,57</w:t>
            </w:r>
          </w:p>
        </w:tc>
        <w:tc>
          <w:tcPr>
            <w:tcW w:w="1244" w:type="dxa"/>
            <w:tcBorders>
              <w:top w:val="nil"/>
              <w:left w:val="nil"/>
              <w:bottom w:val="single" w:sz="4" w:space="0" w:color="auto"/>
              <w:right w:val="single" w:sz="4" w:space="0" w:color="auto"/>
            </w:tcBorders>
            <w:shd w:val="clear" w:color="000000" w:fill="8DB4E2"/>
            <w:noWrap/>
            <w:vAlign w:val="center"/>
            <w:hideMark/>
          </w:tcPr>
          <w:p w14:paraId="02EAF40E" w14:textId="77777777" w:rsidR="003E21A9" w:rsidRPr="003E21A9" w:rsidRDefault="003E21A9" w:rsidP="003E21A9">
            <w:pPr>
              <w:jc w:val="right"/>
              <w:rPr>
                <w:rFonts w:ascii="Calibri" w:hAnsi="Calibri"/>
                <w:b/>
                <w:bCs/>
                <w:sz w:val="20"/>
                <w:szCs w:val="20"/>
              </w:rPr>
            </w:pPr>
            <w:r w:rsidRPr="003E21A9">
              <w:rPr>
                <w:rFonts w:ascii="Calibri" w:hAnsi="Calibri"/>
                <w:b/>
                <w:bCs/>
                <w:sz w:val="20"/>
                <w:szCs w:val="20"/>
              </w:rPr>
              <w:t>100,00%</w:t>
            </w:r>
          </w:p>
        </w:tc>
      </w:tr>
    </w:tbl>
    <w:p w14:paraId="706A9ED6" w14:textId="77777777" w:rsidR="001538EF" w:rsidRPr="005767EF" w:rsidRDefault="001538EF" w:rsidP="001538EF">
      <w:pPr>
        <w:jc w:val="left"/>
        <w:rPr>
          <w:rFonts w:asciiTheme="minorHAnsi" w:eastAsia="Calibri" w:hAnsiTheme="minorHAnsi"/>
          <w:color w:val="auto"/>
          <w:sz w:val="20"/>
          <w:szCs w:val="20"/>
          <w:lang w:val="en-GB" w:eastAsia="en-US"/>
        </w:rPr>
      </w:pPr>
    </w:p>
    <w:p w14:paraId="455C5F5C" w14:textId="36ED8CEB" w:rsidR="003E21A9" w:rsidRDefault="003E21A9" w:rsidP="003E21A9">
      <w:pPr>
        <w:rPr>
          <w:rFonts w:asciiTheme="minorHAnsi" w:eastAsiaTheme="minorHAnsi" w:hAnsiTheme="minorHAnsi"/>
          <w:color w:val="auto"/>
          <w:sz w:val="20"/>
          <w:szCs w:val="20"/>
          <w:lang w:val="sr-Cyrl-BA" w:eastAsia="en-US"/>
        </w:rPr>
      </w:pPr>
      <w:r w:rsidRPr="007259AE">
        <w:rPr>
          <w:rFonts w:asciiTheme="minorHAnsi" w:eastAsia="Calibri" w:hAnsiTheme="minorHAnsi"/>
          <w:color w:val="auto"/>
          <w:sz w:val="20"/>
          <w:szCs w:val="20"/>
          <w:lang w:eastAsia="en-US"/>
        </w:rPr>
        <w:t xml:space="preserve">Na dan 31.12.2023. godine, sredstva Garantnog fonda na  </w:t>
      </w:r>
      <w:r w:rsidRPr="007259AE">
        <w:rPr>
          <w:rFonts w:asciiTheme="minorHAnsi" w:eastAsiaTheme="minorHAnsi" w:hAnsiTheme="minorHAnsi"/>
          <w:color w:val="auto"/>
          <w:sz w:val="20"/>
          <w:szCs w:val="20"/>
          <w:lang w:eastAsia="en-US"/>
        </w:rPr>
        <w:t xml:space="preserve"> žiro računima kod finansijskih posrednika iznose 853.712,34 KM. Od navedenog iznosa, najveći dio ili 681.377,62 KM se nalazi glavnom žiro računu kod MF banke a.d. Banja Luka, preko kojeg se obavlja većina prometa tokom godine. Fond ima samo jedan opozivi depozit u iznosu od 100.000,00 KM kod Prokredit banke d.d. Sarajevo. </w:t>
      </w:r>
    </w:p>
    <w:p w14:paraId="03C31F12" w14:textId="77777777" w:rsidR="003E21A9" w:rsidRDefault="003E21A9" w:rsidP="003E21A9">
      <w:pPr>
        <w:rPr>
          <w:rFonts w:asciiTheme="minorHAnsi" w:eastAsiaTheme="minorHAnsi" w:hAnsiTheme="minorHAnsi"/>
          <w:color w:val="auto"/>
          <w:sz w:val="20"/>
          <w:szCs w:val="20"/>
          <w:lang w:val="sr-Cyrl-BA" w:eastAsia="en-US"/>
        </w:rPr>
      </w:pPr>
    </w:p>
    <w:p w14:paraId="6F8BB66D" w14:textId="77777777" w:rsidR="003E21A9" w:rsidRDefault="003E21A9" w:rsidP="007259AE">
      <w:pPr>
        <w:rPr>
          <w:rFonts w:asciiTheme="minorHAnsi" w:eastAsiaTheme="minorHAnsi" w:hAnsiTheme="minorHAnsi"/>
          <w:color w:val="auto"/>
          <w:sz w:val="20"/>
          <w:szCs w:val="20"/>
          <w:lang w:val="sr-Cyrl-BA" w:eastAsia="en-US"/>
        </w:rPr>
      </w:pPr>
      <w:r w:rsidRPr="00E663D1">
        <w:rPr>
          <w:rFonts w:asciiTheme="minorHAnsi" w:eastAsiaTheme="minorHAnsi" w:hAnsiTheme="minorHAnsi"/>
          <w:color w:val="auto"/>
          <w:sz w:val="20"/>
          <w:szCs w:val="20"/>
          <w:lang w:eastAsia="en-US"/>
        </w:rPr>
        <w:t xml:space="preserve">Ostali plasmani u iznosu od 5.730.828,39 KM se odnose na plasmane u Banci Srpske u stečaju i Bobar banci u stečaju, nakon ispravke vrijednosti i korekcija po osnovu procjene naplativosti potraživanja na dan 31.12.2023. godine. Preostali iznos od 1.485.962,50 KM se odnosi na plasman za izvršeno plaćanje garancije za klijenta Mane komerc d.o.o. Srbac, koji je evidentiran na ovaj način s obzirom da je tokom godine potpisan sporazum o plaćanju sa Novom bankom a.d. Banja Luka kao korisnikom garancije, čime je nastala obaveza Fonda, ali do kraja godine nije došlo do odliva novca po ovom osnovu. </w:t>
      </w:r>
    </w:p>
    <w:p w14:paraId="5DE258F9" w14:textId="77777777" w:rsidR="003E21A9" w:rsidRDefault="003E21A9" w:rsidP="007259AE">
      <w:pPr>
        <w:rPr>
          <w:rFonts w:asciiTheme="minorHAnsi" w:eastAsiaTheme="minorHAnsi" w:hAnsiTheme="minorHAnsi"/>
          <w:color w:val="auto"/>
          <w:sz w:val="20"/>
          <w:szCs w:val="20"/>
          <w:lang w:val="sr-Cyrl-BA" w:eastAsia="en-US"/>
        </w:rPr>
      </w:pPr>
    </w:p>
    <w:p w14:paraId="4F7C3F84" w14:textId="77777777" w:rsidR="003E21A9" w:rsidRDefault="0066471A" w:rsidP="007259AE">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eastAsia="en-US"/>
        </w:rPr>
        <w:t xml:space="preserve">Kao što je ranije navedeno, Garantni fond je najveći dio slobodnih novčanih sredstava uložio u dužničke hartije od vrijednosti čiji su emitenti Republika Srpska, lokalne zajednice, finansijske institucije i privredna društva, pritom poštujući ograničenja definisana Pravilnikom o ulaganju sredstava. </w:t>
      </w:r>
    </w:p>
    <w:p w14:paraId="6C9D9CD7" w14:textId="77777777" w:rsidR="00E37A97" w:rsidRDefault="00E37A97" w:rsidP="007259AE">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eastAsia="en-US"/>
        </w:rPr>
        <w:t>Stanje ulaganja u hartije od vrijednosti na dan 31.12.2023. godine iznosi 11.506.846,34 KM, a detaljniji pregled ovih ulaganja daju tabele u nastavku.</w:t>
      </w:r>
    </w:p>
    <w:p w14:paraId="7596E7E7" w14:textId="77777777" w:rsidR="00B44D0C" w:rsidRPr="00B44D0C" w:rsidRDefault="00B44D0C" w:rsidP="00B44D0C">
      <w:pPr>
        <w:rPr>
          <w:rFonts w:asciiTheme="minorHAnsi" w:eastAsiaTheme="minorHAnsi" w:hAnsiTheme="minorHAnsi"/>
          <w:color w:val="auto"/>
          <w:sz w:val="20"/>
          <w:szCs w:val="20"/>
          <w:lang w:val="sr-Cyrl-BA" w:eastAsia="en-US"/>
        </w:rPr>
      </w:pPr>
    </w:p>
    <w:p w14:paraId="394B763D" w14:textId="77777777" w:rsidR="001538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eastAsia="sr-Cyrl-CS"/>
        </w:rPr>
        <w:t>Pregled stanja hartija od vrijednosti na dan 31.12.2023. godine po emitentima</w:t>
      </w:r>
    </w:p>
    <w:p w14:paraId="1F03DC9A" w14:textId="77777777" w:rsidR="003E21A9" w:rsidRPr="005767EF" w:rsidRDefault="003E21A9" w:rsidP="001538EF">
      <w:pPr>
        <w:jc w:val="center"/>
        <w:rPr>
          <w:rFonts w:asciiTheme="minorHAnsi" w:hAnsiTheme="minorHAnsi"/>
          <w:b/>
          <w:sz w:val="20"/>
          <w:szCs w:val="20"/>
          <w:lang w:val="sr-Cyrl-CS" w:eastAsia="sr-Cyrl-CS"/>
        </w:rPr>
      </w:pPr>
    </w:p>
    <w:p w14:paraId="7232BCA2" w14:textId="77777777" w:rsidR="001538EF" w:rsidRPr="005767EF" w:rsidRDefault="008C6F9F" w:rsidP="008C6F9F">
      <w:pPr>
        <w:jc w:val="right"/>
        <w:rPr>
          <w:rFonts w:asciiTheme="minorHAnsi" w:hAnsiTheme="minorHAnsi"/>
          <w:b/>
          <w:sz w:val="20"/>
          <w:szCs w:val="20"/>
          <w:lang w:val="sr-Cyrl-CS" w:eastAsia="sr-Cyrl-CS"/>
        </w:rPr>
      </w:pPr>
      <w:r>
        <w:rPr>
          <w:rFonts w:asciiTheme="minorHAnsi" w:eastAsia="Calibri" w:hAnsiTheme="minorHAnsi"/>
          <w:b/>
          <w:color w:val="auto"/>
          <w:sz w:val="20"/>
          <w:szCs w:val="20"/>
          <w:lang w:eastAsia="en-US"/>
        </w:rPr>
        <w:t>Tabela 28</w:t>
      </w:r>
    </w:p>
    <w:tbl>
      <w:tblPr>
        <w:tblW w:w="8804" w:type="dxa"/>
        <w:tblInd w:w="93" w:type="dxa"/>
        <w:tblLook w:val="04A0" w:firstRow="1" w:lastRow="0" w:firstColumn="1" w:lastColumn="0" w:noHBand="0" w:noVBand="1"/>
      </w:tblPr>
      <w:tblGrid>
        <w:gridCol w:w="2340"/>
        <w:gridCol w:w="1900"/>
        <w:gridCol w:w="1820"/>
        <w:gridCol w:w="1468"/>
        <w:gridCol w:w="1276"/>
      </w:tblGrid>
      <w:tr w:rsidR="008C6F9F" w:rsidRPr="00626C5F" w14:paraId="75437828" w14:textId="77777777" w:rsidTr="002E51B0">
        <w:trPr>
          <w:trHeight w:val="510"/>
        </w:trPr>
        <w:tc>
          <w:tcPr>
            <w:tcW w:w="2340" w:type="dxa"/>
            <w:tcBorders>
              <w:top w:val="single" w:sz="4" w:space="0" w:color="auto"/>
              <w:left w:val="single" w:sz="4" w:space="0" w:color="auto"/>
              <w:bottom w:val="single" w:sz="4" w:space="0" w:color="auto"/>
              <w:right w:val="single" w:sz="4" w:space="0" w:color="auto"/>
            </w:tcBorders>
            <w:shd w:val="clear" w:color="000000" w:fill="8DB3E2"/>
            <w:vAlign w:val="center"/>
            <w:hideMark/>
          </w:tcPr>
          <w:p w14:paraId="1F7B9800"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rPr>
              <w:t>Emitent hartije od vrijednosti</w:t>
            </w:r>
          </w:p>
        </w:tc>
        <w:tc>
          <w:tcPr>
            <w:tcW w:w="1900" w:type="dxa"/>
            <w:tcBorders>
              <w:top w:val="single" w:sz="4" w:space="0" w:color="auto"/>
              <w:left w:val="nil"/>
              <w:bottom w:val="single" w:sz="4" w:space="0" w:color="auto"/>
              <w:right w:val="single" w:sz="4" w:space="0" w:color="auto"/>
            </w:tcBorders>
            <w:shd w:val="clear" w:color="000000" w:fill="8DB3E2"/>
            <w:vAlign w:val="center"/>
            <w:hideMark/>
          </w:tcPr>
          <w:p w14:paraId="6383094C" w14:textId="55FAD509" w:rsidR="008C6F9F" w:rsidRPr="00626C5F" w:rsidRDefault="00AF0E64" w:rsidP="002E51B0">
            <w:pPr>
              <w:jc w:val="center"/>
              <w:rPr>
                <w:rFonts w:ascii="Calibri" w:hAnsi="Calibri"/>
                <w:b/>
                <w:bCs/>
                <w:sz w:val="20"/>
                <w:szCs w:val="20"/>
              </w:rPr>
            </w:pPr>
            <w:r>
              <w:rPr>
                <w:rFonts w:ascii="Calibri" w:hAnsi="Calibri"/>
                <w:b/>
                <w:bCs/>
                <w:sz w:val="20"/>
                <w:szCs w:val="20"/>
              </w:rPr>
              <w:t xml:space="preserve">Stanje na dan </w:t>
            </w:r>
            <w:r w:rsidR="008C6F9F" w:rsidRPr="00626C5F">
              <w:rPr>
                <w:rFonts w:ascii="Calibri" w:hAnsi="Calibri"/>
                <w:b/>
                <w:bCs/>
                <w:sz w:val="20"/>
                <w:szCs w:val="20"/>
              </w:rPr>
              <w:t xml:space="preserve"> 31.12.2022. </w:t>
            </w:r>
          </w:p>
        </w:tc>
        <w:tc>
          <w:tcPr>
            <w:tcW w:w="1820" w:type="dxa"/>
            <w:tcBorders>
              <w:top w:val="single" w:sz="4" w:space="0" w:color="auto"/>
              <w:left w:val="nil"/>
              <w:bottom w:val="single" w:sz="4" w:space="0" w:color="auto"/>
              <w:right w:val="single" w:sz="4" w:space="0" w:color="auto"/>
            </w:tcBorders>
            <w:shd w:val="clear" w:color="000000" w:fill="8DB3E2"/>
            <w:vAlign w:val="center"/>
            <w:hideMark/>
          </w:tcPr>
          <w:p w14:paraId="35088585" w14:textId="0A096642" w:rsidR="008C6F9F" w:rsidRPr="00626C5F" w:rsidRDefault="00AF0E64" w:rsidP="002E51B0">
            <w:pPr>
              <w:jc w:val="center"/>
              <w:rPr>
                <w:rFonts w:ascii="Calibri" w:hAnsi="Calibri"/>
                <w:b/>
                <w:bCs/>
                <w:sz w:val="20"/>
                <w:szCs w:val="20"/>
              </w:rPr>
            </w:pPr>
            <w:r>
              <w:rPr>
                <w:rFonts w:ascii="Calibri" w:hAnsi="Calibri"/>
                <w:b/>
                <w:bCs/>
                <w:sz w:val="20"/>
                <w:szCs w:val="20"/>
              </w:rPr>
              <w:t xml:space="preserve">Stanje na dan </w:t>
            </w:r>
            <w:r w:rsidR="008C6F9F" w:rsidRPr="00626C5F">
              <w:rPr>
                <w:rFonts w:ascii="Calibri" w:hAnsi="Calibri"/>
                <w:b/>
                <w:bCs/>
                <w:sz w:val="20"/>
                <w:szCs w:val="20"/>
              </w:rPr>
              <w:t xml:space="preserve"> 31.12.2023. </w:t>
            </w:r>
          </w:p>
        </w:tc>
        <w:tc>
          <w:tcPr>
            <w:tcW w:w="1468" w:type="dxa"/>
            <w:tcBorders>
              <w:top w:val="single" w:sz="4" w:space="0" w:color="auto"/>
              <w:left w:val="nil"/>
              <w:bottom w:val="single" w:sz="4" w:space="0" w:color="auto"/>
              <w:right w:val="single" w:sz="4" w:space="0" w:color="auto"/>
            </w:tcBorders>
            <w:shd w:val="clear" w:color="000000" w:fill="8DB4E2"/>
            <w:noWrap/>
            <w:vAlign w:val="center"/>
            <w:hideMark/>
          </w:tcPr>
          <w:p w14:paraId="22F72226"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rPr>
              <w:t>Indeks</w:t>
            </w:r>
          </w:p>
        </w:tc>
        <w:tc>
          <w:tcPr>
            <w:tcW w:w="1276" w:type="dxa"/>
            <w:tcBorders>
              <w:top w:val="single" w:sz="4" w:space="0" w:color="auto"/>
              <w:left w:val="nil"/>
              <w:bottom w:val="single" w:sz="4" w:space="0" w:color="auto"/>
              <w:right w:val="single" w:sz="4" w:space="0" w:color="auto"/>
            </w:tcBorders>
            <w:shd w:val="clear" w:color="000000" w:fill="8DB4E2"/>
            <w:noWrap/>
            <w:vAlign w:val="center"/>
            <w:hideMark/>
          </w:tcPr>
          <w:p w14:paraId="7DE5D5AE" w14:textId="77777777" w:rsidR="008C6F9F" w:rsidRPr="00626C5F" w:rsidRDefault="008C6F9F" w:rsidP="002E51B0">
            <w:pPr>
              <w:jc w:val="center"/>
              <w:rPr>
                <w:rFonts w:ascii="Calibri" w:hAnsi="Calibri"/>
                <w:b/>
                <w:bCs/>
                <w:sz w:val="20"/>
                <w:szCs w:val="20"/>
              </w:rPr>
            </w:pPr>
            <w:r w:rsidRPr="00626C5F">
              <w:rPr>
                <w:rFonts w:ascii="Calibri" w:hAnsi="Calibri"/>
                <w:b/>
                <w:bCs/>
                <w:sz w:val="20"/>
                <w:szCs w:val="20"/>
              </w:rPr>
              <w:t>Struktura</w:t>
            </w:r>
          </w:p>
        </w:tc>
      </w:tr>
      <w:tr w:rsidR="008C6F9F" w:rsidRPr="00626C5F" w14:paraId="3A2628BF"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386591CA" w14:textId="77777777" w:rsidR="008C6F9F" w:rsidRPr="00626C5F" w:rsidRDefault="008C6F9F" w:rsidP="002E51B0">
            <w:pPr>
              <w:jc w:val="left"/>
              <w:rPr>
                <w:rFonts w:ascii="Calibri" w:hAnsi="Calibri"/>
                <w:sz w:val="20"/>
                <w:szCs w:val="20"/>
              </w:rPr>
            </w:pPr>
            <w:r w:rsidRPr="00626C5F">
              <w:rPr>
                <w:rFonts w:ascii="Calibri" w:hAnsi="Calibri"/>
                <w:sz w:val="20"/>
                <w:szCs w:val="20"/>
              </w:rPr>
              <w:t>Republika Srpska</w:t>
            </w:r>
          </w:p>
        </w:tc>
        <w:tc>
          <w:tcPr>
            <w:tcW w:w="1900" w:type="dxa"/>
            <w:tcBorders>
              <w:top w:val="nil"/>
              <w:left w:val="nil"/>
              <w:bottom w:val="single" w:sz="4" w:space="0" w:color="auto"/>
              <w:right w:val="single" w:sz="4" w:space="0" w:color="auto"/>
            </w:tcBorders>
            <w:shd w:val="clear" w:color="auto" w:fill="auto"/>
            <w:noWrap/>
            <w:vAlign w:val="center"/>
            <w:hideMark/>
          </w:tcPr>
          <w:p w14:paraId="2B96C495"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8.094.400,00</w:t>
            </w:r>
          </w:p>
        </w:tc>
        <w:tc>
          <w:tcPr>
            <w:tcW w:w="1820" w:type="dxa"/>
            <w:tcBorders>
              <w:top w:val="nil"/>
              <w:left w:val="nil"/>
              <w:bottom w:val="single" w:sz="4" w:space="0" w:color="auto"/>
              <w:right w:val="single" w:sz="4" w:space="0" w:color="auto"/>
            </w:tcBorders>
            <w:shd w:val="clear" w:color="auto" w:fill="auto"/>
            <w:noWrap/>
            <w:vAlign w:val="center"/>
            <w:hideMark/>
          </w:tcPr>
          <w:p w14:paraId="52004592"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7.719.400,00</w:t>
            </w:r>
          </w:p>
        </w:tc>
        <w:tc>
          <w:tcPr>
            <w:tcW w:w="1468" w:type="dxa"/>
            <w:tcBorders>
              <w:top w:val="nil"/>
              <w:left w:val="nil"/>
              <w:bottom w:val="single" w:sz="4" w:space="0" w:color="auto"/>
              <w:right w:val="single" w:sz="4" w:space="0" w:color="auto"/>
            </w:tcBorders>
            <w:shd w:val="clear" w:color="auto" w:fill="auto"/>
            <w:noWrap/>
            <w:vAlign w:val="bottom"/>
            <w:hideMark/>
          </w:tcPr>
          <w:p w14:paraId="6F79C9C7" w14:textId="77777777" w:rsidR="008C6F9F" w:rsidRPr="00626C5F" w:rsidRDefault="008C6F9F" w:rsidP="002E51B0">
            <w:pPr>
              <w:jc w:val="right"/>
              <w:rPr>
                <w:rFonts w:ascii="Calibri" w:hAnsi="Calibri"/>
                <w:sz w:val="20"/>
                <w:szCs w:val="20"/>
              </w:rPr>
            </w:pPr>
            <w:r w:rsidRPr="00626C5F">
              <w:rPr>
                <w:rFonts w:ascii="Calibri" w:hAnsi="Calibri"/>
                <w:sz w:val="20"/>
                <w:szCs w:val="20"/>
              </w:rPr>
              <w:t>95,37</w:t>
            </w:r>
          </w:p>
        </w:tc>
        <w:tc>
          <w:tcPr>
            <w:tcW w:w="1276" w:type="dxa"/>
            <w:tcBorders>
              <w:top w:val="nil"/>
              <w:left w:val="nil"/>
              <w:bottom w:val="single" w:sz="4" w:space="0" w:color="auto"/>
              <w:right w:val="single" w:sz="4" w:space="0" w:color="auto"/>
            </w:tcBorders>
            <w:shd w:val="clear" w:color="auto" w:fill="auto"/>
            <w:vAlign w:val="bottom"/>
            <w:hideMark/>
          </w:tcPr>
          <w:p w14:paraId="2E3ECC08" w14:textId="77777777" w:rsidR="008C6F9F" w:rsidRPr="00626C5F" w:rsidRDefault="008C6F9F" w:rsidP="002E51B0">
            <w:pPr>
              <w:jc w:val="right"/>
              <w:rPr>
                <w:rFonts w:ascii="Calibri" w:hAnsi="Calibri"/>
                <w:sz w:val="20"/>
                <w:szCs w:val="20"/>
              </w:rPr>
            </w:pPr>
            <w:r w:rsidRPr="00626C5F">
              <w:rPr>
                <w:rFonts w:ascii="Calibri" w:hAnsi="Calibri"/>
                <w:sz w:val="20"/>
                <w:szCs w:val="20"/>
              </w:rPr>
              <w:t>67,05%</w:t>
            </w:r>
          </w:p>
        </w:tc>
      </w:tr>
      <w:tr w:rsidR="008C6F9F" w:rsidRPr="00626C5F" w14:paraId="39E332E6"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64F5F90E" w14:textId="77777777" w:rsidR="008C6F9F" w:rsidRPr="00626C5F" w:rsidRDefault="008C6F9F" w:rsidP="002E51B0">
            <w:pPr>
              <w:jc w:val="left"/>
              <w:rPr>
                <w:rFonts w:ascii="Calibri" w:hAnsi="Calibri"/>
                <w:sz w:val="20"/>
                <w:szCs w:val="20"/>
              </w:rPr>
            </w:pPr>
            <w:r w:rsidRPr="00626C5F">
              <w:rPr>
                <w:rFonts w:ascii="Calibri" w:hAnsi="Calibri"/>
                <w:sz w:val="20"/>
                <w:szCs w:val="20"/>
              </w:rPr>
              <w:t>Lokalne zajednice</w:t>
            </w:r>
          </w:p>
        </w:tc>
        <w:tc>
          <w:tcPr>
            <w:tcW w:w="1900" w:type="dxa"/>
            <w:tcBorders>
              <w:top w:val="nil"/>
              <w:left w:val="nil"/>
              <w:bottom w:val="single" w:sz="4" w:space="0" w:color="auto"/>
              <w:right w:val="single" w:sz="4" w:space="0" w:color="auto"/>
            </w:tcBorders>
            <w:shd w:val="clear" w:color="auto" w:fill="auto"/>
            <w:noWrap/>
            <w:vAlign w:val="center"/>
            <w:hideMark/>
          </w:tcPr>
          <w:p w14:paraId="4B608DD7"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1.584.985,81</w:t>
            </w:r>
          </w:p>
        </w:tc>
        <w:tc>
          <w:tcPr>
            <w:tcW w:w="1820" w:type="dxa"/>
            <w:tcBorders>
              <w:top w:val="nil"/>
              <w:left w:val="nil"/>
              <w:bottom w:val="single" w:sz="4" w:space="0" w:color="auto"/>
              <w:right w:val="single" w:sz="4" w:space="0" w:color="auto"/>
            </w:tcBorders>
            <w:shd w:val="clear" w:color="auto" w:fill="auto"/>
            <w:noWrap/>
            <w:vAlign w:val="center"/>
            <w:hideMark/>
          </w:tcPr>
          <w:p w14:paraId="522E3F54"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1.692.542,96</w:t>
            </w:r>
          </w:p>
        </w:tc>
        <w:tc>
          <w:tcPr>
            <w:tcW w:w="1468" w:type="dxa"/>
            <w:tcBorders>
              <w:top w:val="nil"/>
              <w:left w:val="nil"/>
              <w:bottom w:val="single" w:sz="4" w:space="0" w:color="auto"/>
              <w:right w:val="single" w:sz="4" w:space="0" w:color="auto"/>
            </w:tcBorders>
            <w:shd w:val="clear" w:color="auto" w:fill="auto"/>
            <w:noWrap/>
            <w:vAlign w:val="bottom"/>
            <w:hideMark/>
          </w:tcPr>
          <w:p w14:paraId="53406BA1" w14:textId="77777777" w:rsidR="008C6F9F" w:rsidRPr="00626C5F" w:rsidRDefault="008C6F9F" w:rsidP="002E51B0">
            <w:pPr>
              <w:jc w:val="right"/>
              <w:rPr>
                <w:rFonts w:ascii="Calibri" w:hAnsi="Calibri"/>
                <w:sz w:val="20"/>
                <w:szCs w:val="20"/>
              </w:rPr>
            </w:pPr>
            <w:r w:rsidRPr="00626C5F">
              <w:rPr>
                <w:rFonts w:ascii="Calibri" w:hAnsi="Calibri"/>
                <w:sz w:val="20"/>
                <w:szCs w:val="20"/>
              </w:rPr>
              <w:t>106,79</w:t>
            </w:r>
          </w:p>
        </w:tc>
        <w:tc>
          <w:tcPr>
            <w:tcW w:w="1276" w:type="dxa"/>
            <w:tcBorders>
              <w:top w:val="nil"/>
              <w:left w:val="nil"/>
              <w:bottom w:val="single" w:sz="4" w:space="0" w:color="auto"/>
              <w:right w:val="single" w:sz="4" w:space="0" w:color="auto"/>
            </w:tcBorders>
            <w:shd w:val="clear" w:color="auto" w:fill="auto"/>
            <w:vAlign w:val="bottom"/>
            <w:hideMark/>
          </w:tcPr>
          <w:p w14:paraId="696DF1D4" w14:textId="77777777" w:rsidR="008C6F9F" w:rsidRPr="00626C5F" w:rsidRDefault="008C6F9F" w:rsidP="002E51B0">
            <w:pPr>
              <w:jc w:val="right"/>
              <w:rPr>
                <w:rFonts w:ascii="Calibri" w:hAnsi="Calibri"/>
                <w:sz w:val="20"/>
                <w:szCs w:val="20"/>
              </w:rPr>
            </w:pPr>
            <w:r w:rsidRPr="00626C5F">
              <w:rPr>
                <w:rFonts w:ascii="Calibri" w:hAnsi="Calibri"/>
                <w:sz w:val="20"/>
                <w:szCs w:val="20"/>
              </w:rPr>
              <w:t>14,70%</w:t>
            </w:r>
          </w:p>
        </w:tc>
      </w:tr>
      <w:tr w:rsidR="008C6F9F" w:rsidRPr="00626C5F" w14:paraId="4196A2EF"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5C247613" w14:textId="77777777" w:rsidR="008C6F9F" w:rsidRPr="00626C5F" w:rsidRDefault="008C6F9F" w:rsidP="002E51B0">
            <w:pPr>
              <w:jc w:val="left"/>
              <w:rPr>
                <w:rFonts w:ascii="Calibri" w:hAnsi="Calibri"/>
                <w:sz w:val="20"/>
                <w:szCs w:val="20"/>
              </w:rPr>
            </w:pPr>
            <w:r w:rsidRPr="00626C5F">
              <w:rPr>
                <w:rFonts w:ascii="Calibri" w:hAnsi="Calibri"/>
                <w:sz w:val="20"/>
                <w:szCs w:val="20"/>
              </w:rPr>
              <w:t>Finansijske institucije</w:t>
            </w:r>
          </w:p>
        </w:tc>
        <w:tc>
          <w:tcPr>
            <w:tcW w:w="1900" w:type="dxa"/>
            <w:tcBorders>
              <w:top w:val="nil"/>
              <w:left w:val="nil"/>
              <w:bottom w:val="single" w:sz="4" w:space="0" w:color="auto"/>
              <w:right w:val="single" w:sz="4" w:space="0" w:color="auto"/>
            </w:tcBorders>
            <w:shd w:val="clear" w:color="auto" w:fill="auto"/>
            <w:noWrap/>
            <w:vAlign w:val="center"/>
            <w:hideMark/>
          </w:tcPr>
          <w:p w14:paraId="7DD28C8B"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1.242.197,54</w:t>
            </w:r>
          </w:p>
        </w:tc>
        <w:tc>
          <w:tcPr>
            <w:tcW w:w="1820" w:type="dxa"/>
            <w:tcBorders>
              <w:top w:val="nil"/>
              <w:left w:val="nil"/>
              <w:bottom w:val="single" w:sz="4" w:space="0" w:color="auto"/>
              <w:right w:val="single" w:sz="4" w:space="0" w:color="auto"/>
            </w:tcBorders>
            <w:shd w:val="clear" w:color="auto" w:fill="auto"/>
            <w:noWrap/>
            <w:vAlign w:val="center"/>
            <w:hideMark/>
          </w:tcPr>
          <w:p w14:paraId="1166A1F1"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1.770.202,27</w:t>
            </w:r>
          </w:p>
        </w:tc>
        <w:tc>
          <w:tcPr>
            <w:tcW w:w="1468" w:type="dxa"/>
            <w:tcBorders>
              <w:top w:val="nil"/>
              <w:left w:val="nil"/>
              <w:bottom w:val="single" w:sz="4" w:space="0" w:color="auto"/>
              <w:right w:val="single" w:sz="4" w:space="0" w:color="auto"/>
            </w:tcBorders>
            <w:shd w:val="clear" w:color="auto" w:fill="auto"/>
            <w:noWrap/>
            <w:vAlign w:val="bottom"/>
            <w:hideMark/>
          </w:tcPr>
          <w:p w14:paraId="295F4E54" w14:textId="77777777" w:rsidR="008C6F9F" w:rsidRPr="00626C5F" w:rsidRDefault="008C6F9F" w:rsidP="002E51B0">
            <w:pPr>
              <w:jc w:val="right"/>
              <w:rPr>
                <w:rFonts w:ascii="Calibri" w:hAnsi="Calibri"/>
                <w:sz w:val="20"/>
                <w:szCs w:val="20"/>
              </w:rPr>
            </w:pPr>
            <w:r w:rsidRPr="00626C5F">
              <w:rPr>
                <w:rFonts w:ascii="Calibri" w:hAnsi="Calibri"/>
                <w:sz w:val="20"/>
                <w:szCs w:val="20"/>
              </w:rPr>
              <w:t>142,51</w:t>
            </w:r>
          </w:p>
        </w:tc>
        <w:tc>
          <w:tcPr>
            <w:tcW w:w="1276" w:type="dxa"/>
            <w:tcBorders>
              <w:top w:val="nil"/>
              <w:left w:val="nil"/>
              <w:bottom w:val="single" w:sz="4" w:space="0" w:color="auto"/>
              <w:right w:val="single" w:sz="4" w:space="0" w:color="auto"/>
            </w:tcBorders>
            <w:shd w:val="clear" w:color="auto" w:fill="auto"/>
            <w:vAlign w:val="bottom"/>
            <w:hideMark/>
          </w:tcPr>
          <w:p w14:paraId="484CB3B3" w14:textId="77777777" w:rsidR="008C6F9F" w:rsidRPr="00626C5F" w:rsidRDefault="008C6F9F" w:rsidP="002E51B0">
            <w:pPr>
              <w:jc w:val="right"/>
              <w:rPr>
                <w:rFonts w:ascii="Calibri" w:hAnsi="Calibri"/>
                <w:sz w:val="20"/>
                <w:szCs w:val="20"/>
              </w:rPr>
            </w:pPr>
            <w:r w:rsidRPr="00626C5F">
              <w:rPr>
                <w:rFonts w:ascii="Calibri" w:hAnsi="Calibri"/>
                <w:sz w:val="20"/>
                <w:szCs w:val="20"/>
              </w:rPr>
              <w:t>15,38%</w:t>
            </w:r>
          </w:p>
        </w:tc>
      </w:tr>
      <w:tr w:rsidR="008C6F9F" w:rsidRPr="00626C5F" w14:paraId="37B35605" w14:textId="77777777" w:rsidTr="002E51B0">
        <w:trPr>
          <w:trHeight w:val="315"/>
        </w:trPr>
        <w:tc>
          <w:tcPr>
            <w:tcW w:w="2340" w:type="dxa"/>
            <w:tcBorders>
              <w:top w:val="nil"/>
              <w:left w:val="single" w:sz="4" w:space="0" w:color="auto"/>
              <w:bottom w:val="single" w:sz="4" w:space="0" w:color="auto"/>
              <w:right w:val="single" w:sz="4" w:space="0" w:color="auto"/>
            </w:tcBorders>
            <w:shd w:val="clear" w:color="auto" w:fill="auto"/>
            <w:vAlign w:val="center"/>
            <w:hideMark/>
          </w:tcPr>
          <w:p w14:paraId="4AF57A8C" w14:textId="77777777" w:rsidR="008C6F9F" w:rsidRPr="00626C5F" w:rsidRDefault="008C6F9F" w:rsidP="002E51B0">
            <w:pPr>
              <w:jc w:val="left"/>
              <w:rPr>
                <w:rFonts w:ascii="Calibri" w:hAnsi="Calibri"/>
                <w:sz w:val="20"/>
                <w:szCs w:val="20"/>
              </w:rPr>
            </w:pPr>
            <w:r w:rsidRPr="00626C5F">
              <w:rPr>
                <w:rFonts w:ascii="Calibri" w:hAnsi="Calibri"/>
                <w:sz w:val="20"/>
                <w:szCs w:val="20"/>
              </w:rPr>
              <w:t>Privredna društva</w:t>
            </w:r>
          </w:p>
        </w:tc>
        <w:tc>
          <w:tcPr>
            <w:tcW w:w="1900" w:type="dxa"/>
            <w:tcBorders>
              <w:top w:val="nil"/>
              <w:left w:val="nil"/>
              <w:bottom w:val="single" w:sz="4" w:space="0" w:color="auto"/>
              <w:right w:val="single" w:sz="4" w:space="0" w:color="auto"/>
            </w:tcBorders>
            <w:shd w:val="clear" w:color="auto" w:fill="auto"/>
            <w:noWrap/>
            <w:vAlign w:val="center"/>
            <w:hideMark/>
          </w:tcPr>
          <w:p w14:paraId="466B30E3"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366.166,25</w:t>
            </w:r>
          </w:p>
        </w:tc>
        <w:tc>
          <w:tcPr>
            <w:tcW w:w="1820" w:type="dxa"/>
            <w:tcBorders>
              <w:top w:val="nil"/>
              <w:left w:val="nil"/>
              <w:bottom w:val="single" w:sz="4" w:space="0" w:color="auto"/>
              <w:right w:val="single" w:sz="4" w:space="0" w:color="auto"/>
            </w:tcBorders>
            <w:shd w:val="clear" w:color="auto" w:fill="auto"/>
            <w:noWrap/>
            <w:vAlign w:val="center"/>
            <w:hideMark/>
          </w:tcPr>
          <w:p w14:paraId="193F611D" w14:textId="77777777" w:rsidR="008C6F9F" w:rsidRPr="00626C5F" w:rsidRDefault="008C6F9F" w:rsidP="002E51B0">
            <w:pPr>
              <w:jc w:val="right"/>
              <w:rPr>
                <w:rFonts w:ascii="Calibri" w:hAnsi="Calibri"/>
                <w:color w:val="auto"/>
                <w:sz w:val="20"/>
                <w:szCs w:val="20"/>
              </w:rPr>
            </w:pPr>
            <w:r w:rsidRPr="00626C5F">
              <w:rPr>
                <w:rFonts w:ascii="Calibri" w:hAnsi="Calibri"/>
                <w:color w:val="auto"/>
                <w:sz w:val="20"/>
                <w:szCs w:val="20"/>
              </w:rPr>
              <w:t>329.951,11</w:t>
            </w:r>
          </w:p>
        </w:tc>
        <w:tc>
          <w:tcPr>
            <w:tcW w:w="1468" w:type="dxa"/>
            <w:tcBorders>
              <w:top w:val="nil"/>
              <w:left w:val="nil"/>
              <w:bottom w:val="single" w:sz="4" w:space="0" w:color="auto"/>
              <w:right w:val="single" w:sz="4" w:space="0" w:color="auto"/>
            </w:tcBorders>
            <w:shd w:val="clear" w:color="auto" w:fill="auto"/>
            <w:noWrap/>
            <w:vAlign w:val="bottom"/>
            <w:hideMark/>
          </w:tcPr>
          <w:p w14:paraId="2F7D578C" w14:textId="77777777" w:rsidR="008C6F9F" w:rsidRPr="00626C5F" w:rsidRDefault="008C6F9F" w:rsidP="002E51B0">
            <w:pPr>
              <w:jc w:val="right"/>
              <w:rPr>
                <w:rFonts w:ascii="Calibri" w:hAnsi="Calibri"/>
                <w:sz w:val="20"/>
                <w:szCs w:val="20"/>
              </w:rPr>
            </w:pPr>
            <w:r w:rsidRPr="00626C5F">
              <w:rPr>
                <w:rFonts w:ascii="Calibri" w:hAnsi="Calibri"/>
                <w:sz w:val="20"/>
                <w:szCs w:val="20"/>
              </w:rPr>
              <w:t>90,11</w:t>
            </w:r>
          </w:p>
        </w:tc>
        <w:tc>
          <w:tcPr>
            <w:tcW w:w="1276" w:type="dxa"/>
            <w:tcBorders>
              <w:top w:val="nil"/>
              <w:left w:val="nil"/>
              <w:bottom w:val="single" w:sz="4" w:space="0" w:color="auto"/>
              <w:right w:val="single" w:sz="4" w:space="0" w:color="auto"/>
            </w:tcBorders>
            <w:shd w:val="clear" w:color="auto" w:fill="auto"/>
            <w:vAlign w:val="bottom"/>
            <w:hideMark/>
          </w:tcPr>
          <w:p w14:paraId="769470AB" w14:textId="77777777" w:rsidR="008C6F9F" w:rsidRPr="00626C5F" w:rsidRDefault="008C6F9F" w:rsidP="002E51B0">
            <w:pPr>
              <w:jc w:val="right"/>
              <w:rPr>
                <w:rFonts w:ascii="Calibri" w:hAnsi="Calibri"/>
                <w:sz w:val="20"/>
                <w:szCs w:val="20"/>
              </w:rPr>
            </w:pPr>
            <w:r w:rsidRPr="00626C5F">
              <w:rPr>
                <w:rFonts w:ascii="Calibri" w:hAnsi="Calibri"/>
                <w:sz w:val="20"/>
                <w:szCs w:val="20"/>
              </w:rPr>
              <w:t>2,87%</w:t>
            </w:r>
          </w:p>
        </w:tc>
      </w:tr>
      <w:tr w:rsidR="008C6F9F" w:rsidRPr="00626C5F" w14:paraId="05E03F68" w14:textId="77777777" w:rsidTr="002E51B0">
        <w:trPr>
          <w:trHeight w:val="315"/>
        </w:trPr>
        <w:tc>
          <w:tcPr>
            <w:tcW w:w="2340" w:type="dxa"/>
            <w:tcBorders>
              <w:top w:val="nil"/>
              <w:left w:val="single" w:sz="4" w:space="0" w:color="auto"/>
              <w:bottom w:val="single" w:sz="4" w:space="0" w:color="auto"/>
              <w:right w:val="single" w:sz="4" w:space="0" w:color="auto"/>
            </w:tcBorders>
            <w:shd w:val="clear" w:color="000000" w:fill="8DB3E2"/>
            <w:vAlign w:val="center"/>
            <w:hideMark/>
          </w:tcPr>
          <w:p w14:paraId="75F7C811" w14:textId="45307528" w:rsidR="008C6F9F" w:rsidRPr="00626C5F" w:rsidRDefault="00AF0E64" w:rsidP="002E51B0">
            <w:pPr>
              <w:jc w:val="left"/>
              <w:rPr>
                <w:rFonts w:ascii="Calibri" w:hAnsi="Calibri"/>
                <w:b/>
                <w:bCs/>
                <w:sz w:val="20"/>
                <w:szCs w:val="20"/>
              </w:rPr>
            </w:pPr>
            <w:r>
              <w:rPr>
                <w:rFonts w:ascii="Calibri" w:hAnsi="Calibri"/>
                <w:b/>
                <w:bCs/>
                <w:sz w:val="20"/>
                <w:szCs w:val="20"/>
              </w:rPr>
              <w:t>Sveukupno</w:t>
            </w:r>
          </w:p>
        </w:tc>
        <w:tc>
          <w:tcPr>
            <w:tcW w:w="1900" w:type="dxa"/>
            <w:tcBorders>
              <w:top w:val="nil"/>
              <w:left w:val="nil"/>
              <w:bottom w:val="single" w:sz="4" w:space="0" w:color="auto"/>
              <w:right w:val="single" w:sz="4" w:space="0" w:color="auto"/>
            </w:tcBorders>
            <w:shd w:val="clear" w:color="000000" w:fill="8DB3E2"/>
            <w:noWrap/>
            <w:vAlign w:val="center"/>
            <w:hideMark/>
          </w:tcPr>
          <w:p w14:paraId="3DC3349A"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11.287.749,60</w:t>
            </w:r>
          </w:p>
        </w:tc>
        <w:tc>
          <w:tcPr>
            <w:tcW w:w="1820" w:type="dxa"/>
            <w:tcBorders>
              <w:top w:val="nil"/>
              <w:left w:val="nil"/>
              <w:bottom w:val="single" w:sz="4" w:space="0" w:color="auto"/>
              <w:right w:val="single" w:sz="4" w:space="0" w:color="auto"/>
            </w:tcBorders>
            <w:shd w:val="clear" w:color="000000" w:fill="8DB3E2"/>
            <w:noWrap/>
            <w:vAlign w:val="center"/>
            <w:hideMark/>
          </w:tcPr>
          <w:p w14:paraId="04C5DEAD"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11.512.096,34</w:t>
            </w:r>
          </w:p>
        </w:tc>
        <w:tc>
          <w:tcPr>
            <w:tcW w:w="1468" w:type="dxa"/>
            <w:tcBorders>
              <w:top w:val="nil"/>
              <w:left w:val="nil"/>
              <w:bottom w:val="single" w:sz="4" w:space="0" w:color="auto"/>
              <w:right w:val="single" w:sz="4" w:space="0" w:color="auto"/>
            </w:tcBorders>
            <w:shd w:val="clear" w:color="000000" w:fill="8DB4E2"/>
            <w:noWrap/>
            <w:vAlign w:val="bottom"/>
            <w:hideMark/>
          </w:tcPr>
          <w:p w14:paraId="35FC4773"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101,99</w:t>
            </w:r>
          </w:p>
        </w:tc>
        <w:tc>
          <w:tcPr>
            <w:tcW w:w="1276" w:type="dxa"/>
            <w:tcBorders>
              <w:top w:val="nil"/>
              <w:left w:val="nil"/>
              <w:bottom w:val="single" w:sz="4" w:space="0" w:color="auto"/>
              <w:right w:val="single" w:sz="4" w:space="0" w:color="auto"/>
            </w:tcBorders>
            <w:shd w:val="clear" w:color="000000" w:fill="8DB3E2"/>
            <w:noWrap/>
            <w:vAlign w:val="center"/>
            <w:hideMark/>
          </w:tcPr>
          <w:p w14:paraId="2A4DCDE3" w14:textId="77777777" w:rsidR="008C6F9F" w:rsidRPr="00626C5F" w:rsidRDefault="008C6F9F" w:rsidP="002E51B0">
            <w:pPr>
              <w:jc w:val="right"/>
              <w:rPr>
                <w:rFonts w:ascii="Calibri" w:hAnsi="Calibri"/>
                <w:b/>
                <w:bCs/>
                <w:sz w:val="20"/>
                <w:szCs w:val="20"/>
              </w:rPr>
            </w:pPr>
            <w:r w:rsidRPr="00626C5F">
              <w:rPr>
                <w:rFonts w:ascii="Calibri" w:hAnsi="Calibri"/>
                <w:b/>
                <w:bCs/>
                <w:sz w:val="20"/>
                <w:szCs w:val="20"/>
              </w:rPr>
              <w:t>100,00%</w:t>
            </w:r>
          </w:p>
        </w:tc>
      </w:tr>
    </w:tbl>
    <w:p w14:paraId="06ED2644" w14:textId="77777777" w:rsidR="001538EF" w:rsidRPr="00B44D0C"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r>
      <w:r w:rsidRPr="005767EF">
        <w:rPr>
          <w:rFonts w:asciiTheme="minorHAnsi" w:eastAsia="Calibri" w:hAnsiTheme="minorHAnsi"/>
          <w:color w:val="auto"/>
          <w:sz w:val="20"/>
          <w:szCs w:val="20"/>
          <w:lang w:eastAsia="en-US"/>
        </w:rPr>
        <w:tab/>
        <w:t xml:space="preserve">       </w:t>
      </w:r>
      <w:r w:rsidR="00B44D0C">
        <w:rPr>
          <w:rFonts w:asciiTheme="minorHAnsi" w:eastAsia="Calibri" w:hAnsiTheme="minorHAnsi"/>
          <w:color w:val="auto"/>
          <w:sz w:val="20"/>
          <w:szCs w:val="20"/>
          <w:lang w:eastAsia="en-US"/>
        </w:rPr>
        <w:t xml:space="preserve">         </w:t>
      </w:r>
      <w:r w:rsidRPr="005767EF">
        <w:rPr>
          <w:rFonts w:asciiTheme="minorHAnsi" w:eastAsia="Calibri" w:hAnsiTheme="minorHAnsi"/>
          <w:color w:val="auto"/>
          <w:sz w:val="20"/>
          <w:szCs w:val="20"/>
          <w:lang w:eastAsia="en-US"/>
        </w:rPr>
        <w:t xml:space="preserve"> </w:t>
      </w:r>
    </w:p>
    <w:p w14:paraId="52E1BBFE" w14:textId="77777777" w:rsidR="001538EF" w:rsidRDefault="008C6F9F" w:rsidP="001538EF">
      <w:pPr>
        <w:rPr>
          <w:rFonts w:asciiTheme="minorHAnsi" w:hAnsiTheme="minorHAnsi"/>
          <w:sz w:val="20"/>
          <w:szCs w:val="20"/>
          <w:lang w:val="sr-Cyrl-CS" w:eastAsia="sr-Cyrl-CS"/>
        </w:rPr>
      </w:pPr>
      <w:r w:rsidRPr="008C6F9F">
        <w:rPr>
          <w:rFonts w:asciiTheme="minorHAnsi" w:hAnsiTheme="minorHAnsi"/>
          <w:sz w:val="20"/>
          <w:szCs w:val="20"/>
          <w:lang w:eastAsia="sr-Cyrl-CS"/>
        </w:rPr>
        <w:t>Dominantno učešće od 67,05% imaju ulaganja u dužničke hartije od vrijednosti Republike Srpske, čije stanje na dan 31.12.2023. godine iznosi 7.719.400,00 KM. Na drugom i trećem mjestu, sa približno istim učešćem od 14,70% i 15,38%, nalaze se ulaganja u dužničke hartije od vrijednosti čiji su emitenti lokalne zajednice i finansijske institucije. Ulaganja u hartije od vrijednosti privrednih društava imaju najmanje učešće, 2,87% ili 329.951,11 KM u apsolutnom iznosu.</w:t>
      </w:r>
    </w:p>
    <w:p w14:paraId="38F5EF71" w14:textId="77777777" w:rsidR="00170349" w:rsidRDefault="00823B1A" w:rsidP="001538EF">
      <w:pPr>
        <w:rPr>
          <w:rFonts w:asciiTheme="minorHAnsi" w:hAnsiTheme="minorHAnsi"/>
          <w:sz w:val="20"/>
          <w:szCs w:val="20"/>
          <w:lang w:val="sr-Cyrl-CS" w:eastAsia="sr-Cyrl-CS"/>
        </w:rPr>
      </w:pPr>
      <w:r>
        <w:rPr>
          <w:rFonts w:asciiTheme="minorHAnsi" w:hAnsiTheme="minorHAnsi"/>
          <w:sz w:val="20"/>
          <w:szCs w:val="20"/>
          <w:lang w:eastAsia="sr-Cyrl-CS"/>
        </w:rPr>
        <w:t>U odnosu na 2022. godinu, došlo je do rasta ulaganja u obveznice lokalnih zajednica i privrednih društava.</w:t>
      </w:r>
    </w:p>
    <w:p w14:paraId="4DEF98AB" w14:textId="77777777" w:rsidR="009D59E8" w:rsidRDefault="009D59E8" w:rsidP="001538EF">
      <w:pPr>
        <w:rPr>
          <w:rFonts w:asciiTheme="minorHAnsi" w:hAnsiTheme="minorHAnsi"/>
          <w:sz w:val="20"/>
          <w:szCs w:val="20"/>
          <w:lang w:val="sr-Cyrl-CS" w:eastAsia="sr-Cyrl-CS"/>
        </w:rPr>
      </w:pPr>
    </w:p>
    <w:p w14:paraId="7BC0B10F" w14:textId="77777777" w:rsidR="009D59E8" w:rsidRDefault="009D59E8" w:rsidP="001538EF">
      <w:pPr>
        <w:rPr>
          <w:rFonts w:asciiTheme="minorHAnsi" w:hAnsiTheme="minorHAnsi"/>
          <w:sz w:val="20"/>
          <w:szCs w:val="20"/>
          <w:lang w:val="sr-Latn-BA" w:eastAsia="sr-Cyrl-CS"/>
        </w:rPr>
      </w:pPr>
    </w:p>
    <w:p w14:paraId="1F70BA35" w14:textId="77777777" w:rsidR="00AF0E64" w:rsidRDefault="00AF0E64" w:rsidP="001538EF">
      <w:pPr>
        <w:rPr>
          <w:rFonts w:asciiTheme="minorHAnsi" w:hAnsiTheme="minorHAnsi"/>
          <w:sz w:val="20"/>
          <w:szCs w:val="20"/>
          <w:lang w:val="sr-Latn-BA" w:eastAsia="sr-Cyrl-CS"/>
        </w:rPr>
      </w:pPr>
    </w:p>
    <w:p w14:paraId="31756E5D" w14:textId="77777777" w:rsidR="00AF0E64" w:rsidRDefault="00AF0E64" w:rsidP="001538EF">
      <w:pPr>
        <w:rPr>
          <w:rFonts w:asciiTheme="minorHAnsi" w:hAnsiTheme="minorHAnsi"/>
          <w:sz w:val="20"/>
          <w:szCs w:val="20"/>
          <w:lang w:val="sr-Latn-BA" w:eastAsia="sr-Cyrl-CS"/>
        </w:rPr>
      </w:pPr>
    </w:p>
    <w:p w14:paraId="06F6F09C" w14:textId="77777777" w:rsidR="00AF0E64" w:rsidRDefault="00AF0E64" w:rsidP="001538EF">
      <w:pPr>
        <w:rPr>
          <w:rFonts w:asciiTheme="minorHAnsi" w:hAnsiTheme="minorHAnsi"/>
          <w:sz w:val="20"/>
          <w:szCs w:val="20"/>
          <w:lang w:val="sr-Latn-BA" w:eastAsia="sr-Cyrl-CS"/>
        </w:rPr>
      </w:pPr>
    </w:p>
    <w:p w14:paraId="2C0CA264" w14:textId="77777777" w:rsidR="00AF0E64" w:rsidRDefault="00AF0E64" w:rsidP="001538EF">
      <w:pPr>
        <w:rPr>
          <w:rFonts w:asciiTheme="minorHAnsi" w:hAnsiTheme="minorHAnsi"/>
          <w:sz w:val="20"/>
          <w:szCs w:val="20"/>
          <w:lang w:val="sr-Latn-BA" w:eastAsia="sr-Cyrl-CS"/>
        </w:rPr>
      </w:pPr>
    </w:p>
    <w:p w14:paraId="597141B8" w14:textId="77777777" w:rsidR="00AF0E64" w:rsidRPr="00AF0E64" w:rsidRDefault="00AF0E64" w:rsidP="001538EF">
      <w:pPr>
        <w:rPr>
          <w:rFonts w:asciiTheme="minorHAnsi" w:hAnsiTheme="minorHAnsi"/>
          <w:sz w:val="20"/>
          <w:szCs w:val="20"/>
          <w:lang w:val="sr-Latn-BA" w:eastAsia="sr-Cyrl-CS"/>
        </w:rPr>
      </w:pPr>
    </w:p>
    <w:p w14:paraId="2A557D98" w14:textId="77777777" w:rsidR="009D59E8" w:rsidRDefault="009D59E8" w:rsidP="001538EF">
      <w:pPr>
        <w:rPr>
          <w:rFonts w:asciiTheme="minorHAnsi" w:hAnsiTheme="minorHAnsi"/>
          <w:sz w:val="20"/>
          <w:szCs w:val="20"/>
          <w:lang w:val="sr-Cyrl-CS" w:eastAsia="sr-Cyrl-CS"/>
        </w:rPr>
      </w:pPr>
    </w:p>
    <w:p w14:paraId="2CBFEE7C" w14:textId="77777777" w:rsidR="00823B1A" w:rsidRDefault="00823B1A" w:rsidP="00823B1A">
      <w:pPr>
        <w:jc w:val="center"/>
        <w:rPr>
          <w:rFonts w:asciiTheme="minorHAnsi" w:hAnsiTheme="minorHAnsi"/>
          <w:b/>
          <w:sz w:val="20"/>
          <w:szCs w:val="20"/>
          <w:lang w:val="sr-Cyrl-CS" w:eastAsia="sr-Cyrl-CS"/>
        </w:rPr>
      </w:pPr>
      <w:r>
        <w:rPr>
          <w:rFonts w:asciiTheme="minorHAnsi" w:hAnsiTheme="minorHAnsi"/>
          <w:b/>
          <w:sz w:val="20"/>
          <w:szCs w:val="20"/>
          <w:lang w:eastAsia="sr-Cyrl-CS"/>
        </w:rPr>
        <w:t xml:space="preserve">Analitički pregled stanja hartija od vrijednosti na dan 31.12.2023. godine </w:t>
      </w:r>
    </w:p>
    <w:p w14:paraId="5A2CE2B6" w14:textId="77777777" w:rsidR="00823B1A" w:rsidRPr="005767EF" w:rsidRDefault="00823B1A" w:rsidP="00823B1A">
      <w:pPr>
        <w:jc w:val="center"/>
        <w:rPr>
          <w:rFonts w:asciiTheme="minorHAnsi" w:hAnsiTheme="minorHAnsi"/>
          <w:b/>
          <w:sz w:val="20"/>
          <w:szCs w:val="20"/>
          <w:lang w:val="sr-Cyrl-CS" w:eastAsia="sr-Cyrl-CS"/>
        </w:rPr>
      </w:pPr>
    </w:p>
    <w:p w14:paraId="07024DE4" w14:textId="77777777" w:rsidR="00823B1A" w:rsidRDefault="00AF0599" w:rsidP="00AF0599">
      <w:pPr>
        <w:jc w:val="right"/>
        <w:rPr>
          <w:rFonts w:asciiTheme="minorHAnsi" w:eastAsia="Calibri" w:hAnsiTheme="minorHAnsi"/>
          <w:b/>
          <w:color w:val="auto"/>
          <w:sz w:val="20"/>
          <w:szCs w:val="20"/>
          <w:lang w:val="sr-Cyrl-BA" w:eastAsia="en-US"/>
        </w:rPr>
      </w:pPr>
      <w:r>
        <w:rPr>
          <w:rFonts w:asciiTheme="minorHAnsi" w:eastAsia="Calibri" w:hAnsiTheme="minorHAnsi"/>
          <w:b/>
          <w:color w:val="auto"/>
          <w:sz w:val="20"/>
          <w:szCs w:val="20"/>
          <w:lang w:eastAsia="en-US"/>
        </w:rPr>
        <w:t xml:space="preserve">     Tabela 29</w:t>
      </w:r>
    </w:p>
    <w:tbl>
      <w:tblPr>
        <w:tblW w:w="9116" w:type="dxa"/>
        <w:tblInd w:w="93" w:type="dxa"/>
        <w:tblLayout w:type="fixed"/>
        <w:tblLook w:val="04A0" w:firstRow="1" w:lastRow="0" w:firstColumn="1" w:lastColumn="0" w:noHBand="0" w:noVBand="1"/>
      </w:tblPr>
      <w:tblGrid>
        <w:gridCol w:w="545"/>
        <w:gridCol w:w="993"/>
        <w:gridCol w:w="6"/>
        <w:gridCol w:w="12"/>
        <w:gridCol w:w="1104"/>
        <w:gridCol w:w="21"/>
        <w:gridCol w:w="874"/>
        <w:gridCol w:w="996"/>
        <w:gridCol w:w="855"/>
        <w:gridCol w:w="995"/>
        <w:gridCol w:w="854"/>
        <w:gridCol w:w="24"/>
        <w:gridCol w:w="971"/>
        <w:gridCol w:w="24"/>
        <w:gridCol w:w="842"/>
      </w:tblGrid>
      <w:tr w:rsidR="00C442DB" w:rsidRPr="00C442DB" w14:paraId="0A6AF6F5" w14:textId="77777777" w:rsidTr="002A24EC">
        <w:trPr>
          <w:trHeight w:val="720"/>
        </w:trPr>
        <w:tc>
          <w:tcPr>
            <w:tcW w:w="545"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7E72DB46" w14:textId="1A631D9B" w:rsidR="00C442DB" w:rsidRPr="00C442DB" w:rsidRDefault="00C442DB" w:rsidP="00C442DB">
            <w:pPr>
              <w:jc w:val="center"/>
              <w:rPr>
                <w:rFonts w:ascii="Calibri" w:hAnsi="Calibri"/>
                <w:b/>
                <w:bCs/>
                <w:sz w:val="16"/>
                <w:szCs w:val="16"/>
              </w:rPr>
            </w:pPr>
            <w:r w:rsidRPr="00C442DB">
              <w:rPr>
                <w:rFonts w:ascii="Calibri" w:hAnsi="Calibri"/>
                <w:b/>
                <w:bCs/>
                <w:sz w:val="16"/>
                <w:szCs w:val="16"/>
              </w:rPr>
              <w:t xml:space="preserve">RED. </w:t>
            </w:r>
            <w:r w:rsidR="00AF0E64">
              <w:rPr>
                <w:rFonts w:ascii="Calibri" w:hAnsi="Calibri"/>
                <w:b/>
                <w:bCs/>
                <w:sz w:val="16"/>
                <w:szCs w:val="16"/>
              </w:rPr>
              <w:t>BR</w:t>
            </w:r>
          </w:p>
        </w:tc>
        <w:tc>
          <w:tcPr>
            <w:tcW w:w="993" w:type="dxa"/>
            <w:tcBorders>
              <w:top w:val="single" w:sz="4" w:space="0" w:color="auto"/>
              <w:left w:val="nil"/>
              <w:bottom w:val="single" w:sz="4" w:space="0" w:color="auto"/>
              <w:right w:val="single" w:sz="4" w:space="0" w:color="auto"/>
            </w:tcBorders>
            <w:shd w:val="clear" w:color="000000" w:fill="8DB4E2"/>
            <w:vAlign w:val="center"/>
            <w:hideMark/>
          </w:tcPr>
          <w:p w14:paraId="1752F628" w14:textId="587BA78C" w:rsidR="00C442DB" w:rsidRPr="00C442DB" w:rsidRDefault="00AF0E64" w:rsidP="00AF0E64">
            <w:pPr>
              <w:jc w:val="center"/>
              <w:rPr>
                <w:rFonts w:ascii="Calibri" w:hAnsi="Calibri"/>
                <w:b/>
                <w:bCs/>
                <w:sz w:val="16"/>
                <w:szCs w:val="16"/>
              </w:rPr>
            </w:pPr>
            <w:r>
              <w:rPr>
                <w:rFonts w:ascii="Calibri" w:hAnsi="Calibri"/>
                <w:b/>
                <w:bCs/>
                <w:sz w:val="16"/>
                <w:szCs w:val="16"/>
              </w:rPr>
              <w:t>OZNAKA HOV</w:t>
            </w:r>
          </w:p>
        </w:tc>
        <w:tc>
          <w:tcPr>
            <w:tcW w:w="1122" w:type="dxa"/>
            <w:gridSpan w:val="3"/>
            <w:tcBorders>
              <w:top w:val="single" w:sz="4" w:space="0" w:color="auto"/>
              <w:left w:val="nil"/>
              <w:bottom w:val="single" w:sz="4" w:space="0" w:color="auto"/>
              <w:right w:val="single" w:sz="4" w:space="0" w:color="auto"/>
            </w:tcBorders>
            <w:shd w:val="clear" w:color="000000" w:fill="8DB4E2"/>
            <w:noWrap/>
            <w:vAlign w:val="center"/>
            <w:hideMark/>
          </w:tcPr>
          <w:p w14:paraId="64BA1B65"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IZNOS EMISIJE</w:t>
            </w:r>
          </w:p>
        </w:tc>
        <w:tc>
          <w:tcPr>
            <w:tcW w:w="895" w:type="dxa"/>
            <w:gridSpan w:val="2"/>
            <w:tcBorders>
              <w:top w:val="single" w:sz="4" w:space="0" w:color="auto"/>
              <w:left w:val="nil"/>
              <w:bottom w:val="single" w:sz="4" w:space="0" w:color="auto"/>
              <w:right w:val="single" w:sz="4" w:space="0" w:color="auto"/>
            </w:tcBorders>
            <w:shd w:val="clear" w:color="000000" w:fill="8DB4E2"/>
            <w:vAlign w:val="center"/>
            <w:hideMark/>
          </w:tcPr>
          <w:p w14:paraId="52B9DABD"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BROJ OBVEZNICA</w:t>
            </w:r>
          </w:p>
        </w:tc>
        <w:tc>
          <w:tcPr>
            <w:tcW w:w="996" w:type="dxa"/>
            <w:tcBorders>
              <w:top w:val="single" w:sz="4" w:space="0" w:color="auto"/>
              <w:left w:val="nil"/>
              <w:bottom w:val="single" w:sz="4" w:space="0" w:color="auto"/>
              <w:right w:val="single" w:sz="4" w:space="0" w:color="auto"/>
            </w:tcBorders>
            <w:shd w:val="clear" w:color="000000" w:fill="8DB4E2"/>
            <w:vAlign w:val="center"/>
            <w:hideMark/>
          </w:tcPr>
          <w:p w14:paraId="3F0977D3"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KUPLJENI IZNOS</w:t>
            </w:r>
          </w:p>
        </w:tc>
        <w:tc>
          <w:tcPr>
            <w:tcW w:w="855" w:type="dxa"/>
            <w:tcBorders>
              <w:top w:val="single" w:sz="4" w:space="0" w:color="auto"/>
              <w:left w:val="nil"/>
              <w:bottom w:val="single" w:sz="4" w:space="0" w:color="auto"/>
              <w:right w:val="single" w:sz="4" w:space="0" w:color="auto"/>
            </w:tcBorders>
            <w:shd w:val="clear" w:color="000000" w:fill="8DB4E2"/>
            <w:vAlign w:val="center"/>
            <w:hideMark/>
          </w:tcPr>
          <w:p w14:paraId="6946BA75"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KAMATNA STOPA</w:t>
            </w:r>
          </w:p>
        </w:tc>
        <w:tc>
          <w:tcPr>
            <w:tcW w:w="995" w:type="dxa"/>
            <w:tcBorders>
              <w:top w:val="single" w:sz="4" w:space="0" w:color="auto"/>
              <w:left w:val="nil"/>
              <w:bottom w:val="single" w:sz="4" w:space="0" w:color="auto"/>
              <w:right w:val="single" w:sz="4" w:space="0" w:color="auto"/>
            </w:tcBorders>
            <w:shd w:val="clear" w:color="000000" w:fill="8DB4E2"/>
            <w:vAlign w:val="center"/>
            <w:hideMark/>
          </w:tcPr>
          <w:p w14:paraId="596C0E6B" w14:textId="3C1ACE3A" w:rsidR="00C442DB" w:rsidRPr="00C442DB" w:rsidRDefault="00AF0E64" w:rsidP="00C442DB">
            <w:pPr>
              <w:jc w:val="center"/>
              <w:rPr>
                <w:rFonts w:ascii="Calibri" w:hAnsi="Calibri"/>
                <w:b/>
                <w:bCs/>
                <w:sz w:val="16"/>
                <w:szCs w:val="16"/>
              </w:rPr>
            </w:pPr>
            <w:r>
              <w:rPr>
                <w:rFonts w:ascii="Calibri" w:hAnsi="Calibri"/>
                <w:b/>
                <w:bCs/>
                <w:sz w:val="16"/>
                <w:szCs w:val="16"/>
              </w:rPr>
              <w:t>STANJE NA DAN 31.12.2023</w:t>
            </w:r>
          </w:p>
        </w:tc>
        <w:tc>
          <w:tcPr>
            <w:tcW w:w="878" w:type="dxa"/>
            <w:gridSpan w:val="2"/>
            <w:tcBorders>
              <w:top w:val="single" w:sz="4" w:space="0" w:color="auto"/>
              <w:left w:val="nil"/>
              <w:bottom w:val="single" w:sz="4" w:space="0" w:color="auto"/>
              <w:right w:val="single" w:sz="4" w:space="0" w:color="auto"/>
            </w:tcBorders>
            <w:shd w:val="clear" w:color="000000" w:fill="8DB4E2"/>
            <w:noWrap/>
            <w:vAlign w:val="center"/>
            <w:hideMark/>
          </w:tcPr>
          <w:p w14:paraId="2171F8A3" w14:textId="17332E75" w:rsidR="00C442DB" w:rsidRPr="00C442DB" w:rsidRDefault="00AF0E64" w:rsidP="00C442DB">
            <w:pPr>
              <w:jc w:val="center"/>
              <w:rPr>
                <w:rFonts w:ascii="Calibri" w:hAnsi="Calibri"/>
                <w:b/>
                <w:bCs/>
                <w:sz w:val="16"/>
                <w:szCs w:val="16"/>
              </w:rPr>
            </w:pPr>
            <w:r>
              <w:rPr>
                <w:rFonts w:ascii="Calibri" w:hAnsi="Calibri"/>
                <w:b/>
                <w:bCs/>
                <w:sz w:val="16"/>
                <w:szCs w:val="16"/>
              </w:rPr>
              <w:t>KAPITALISANJE</w:t>
            </w:r>
          </w:p>
        </w:tc>
        <w:tc>
          <w:tcPr>
            <w:tcW w:w="995" w:type="dxa"/>
            <w:gridSpan w:val="2"/>
            <w:tcBorders>
              <w:top w:val="single" w:sz="4" w:space="0" w:color="auto"/>
              <w:left w:val="nil"/>
              <w:bottom w:val="single" w:sz="4" w:space="0" w:color="auto"/>
              <w:right w:val="single" w:sz="4" w:space="0" w:color="auto"/>
            </w:tcBorders>
            <w:shd w:val="clear" w:color="000000" w:fill="8DB4E2"/>
            <w:vAlign w:val="center"/>
            <w:hideMark/>
          </w:tcPr>
          <w:p w14:paraId="2C5C4FEB" w14:textId="77777777" w:rsidR="00C442DB" w:rsidRPr="00C442DB" w:rsidRDefault="00C442DB" w:rsidP="006C1A84">
            <w:pPr>
              <w:ind w:right="-71"/>
              <w:jc w:val="center"/>
              <w:rPr>
                <w:rFonts w:ascii="Calibri" w:hAnsi="Calibri"/>
                <w:b/>
                <w:bCs/>
                <w:sz w:val="16"/>
                <w:szCs w:val="16"/>
              </w:rPr>
            </w:pPr>
            <w:r w:rsidRPr="00C442DB">
              <w:rPr>
                <w:rFonts w:ascii="Calibri" w:hAnsi="Calibri"/>
                <w:b/>
                <w:bCs/>
                <w:sz w:val="16"/>
                <w:szCs w:val="16"/>
              </w:rPr>
              <w:t>DATUM DOSPIJEĆA</w:t>
            </w:r>
          </w:p>
        </w:tc>
        <w:tc>
          <w:tcPr>
            <w:tcW w:w="842" w:type="dxa"/>
            <w:tcBorders>
              <w:top w:val="single" w:sz="4" w:space="0" w:color="auto"/>
              <w:left w:val="nil"/>
              <w:bottom w:val="single" w:sz="4" w:space="0" w:color="auto"/>
              <w:right w:val="single" w:sz="4" w:space="0" w:color="auto"/>
            </w:tcBorders>
            <w:shd w:val="clear" w:color="000000" w:fill="8DB4E2"/>
            <w:vAlign w:val="center"/>
            <w:hideMark/>
          </w:tcPr>
          <w:p w14:paraId="6C72C7E1" w14:textId="77777777" w:rsidR="00C442DB" w:rsidRPr="00C442DB" w:rsidRDefault="00C442DB" w:rsidP="006C1A84">
            <w:pPr>
              <w:ind w:left="-145" w:right="-61"/>
              <w:jc w:val="center"/>
              <w:rPr>
                <w:rFonts w:ascii="Calibri" w:hAnsi="Calibri"/>
                <w:b/>
                <w:bCs/>
                <w:sz w:val="16"/>
                <w:szCs w:val="16"/>
              </w:rPr>
            </w:pPr>
            <w:r w:rsidRPr="00C442DB">
              <w:rPr>
                <w:rFonts w:ascii="Calibri" w:hAnsi="Calibri"/>
                <w:b/>
                <w:bCs/>
                <w:sz w:val="16"/>
                <w:szCs w:val="16"/>
              </w:rPr>
              <w:t>DATUM DOSPIJEĆA KUPONA</w:t>
            </w:r>
          </w:p>
        </w:tc>
      </w:tr>
      <w:tr w:rsidR="00C442DB" w:rsidRPr="00C442DB" w14:paraId="41EDE6C1"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4490BDFD" w14:textId="77777777" w:rsidR="00C442DB" w:rsidRPr="00C442DB" w:rsidRDefault="00C442DB" w:rsidP="00C442DB">
            <w:pPr>
              <w:jc w:val="center"/>
              <w:rPr>
                <w:rFonts w:ascii="Calibri" w:hAnsi="Calibri"/>
                <w:sz w:val="16"/>
                <w:szCs w:val="16"/>
              </w:rPr>
            </w:pPr>
            <w:r w:rsidRPr="00C442DB">
              <w:rPr>
                <w:rFonts w:ascii="Calibri" w:hAnsi="Calibri"/>
                <w:sz w:val="16"/>
                <w:szCs w:val="16"/>
              </w:rPr>
              <w:t>1</w:t>
            </w:r>
          </w:p>
        </w:tc>
        <w:tc>
          <w:tcPr>
            <w:tcW w:w="993" w:type="dxa"/>
            <w:tcBorders>
              <w:top w:val="nil"/>
              <w:left w:val="nil"/>
              <w:bottom w:val="single" w:sz="4" w:space="0" w:color="auto"/>
              <w:right w:val="single" w:sz="4" w:space="0" w:color="auto"/>
            </w:tcBorders>
            <w:shd w:val="clear" w:color="auto" w:fill="auto"/>
            <w:noWrap/>
            <w:vAlign w:val="bottom"/>
            <w:hideMark/>
          </w:tcPr>
          <w:p w14:paraId="7FD57A75" w14:textId="77777777" w:rsidR="00C442DB" w:rsidRPr="00C442DB" w:rsidRDefault="00C442DB" w:rsidP="00C442DB">
            <w:pPr>
              <w:jc w:val="left"/>
              <w:rPr>
                <w:rFonts w:ascii="Calibri" w:hAnsi="Calibri"/>
                <w:sz w:val="16"/>
                <w:szCs w:val="16"/>
              </w:rPr>
            </w:pPr>
            <w:r w:rsidRPr="00C442DB">
              <w:rPr>
                <w:rFonts w:ascii="Calibri" w:hAnsi="Calibri"/>
                <w:sz w:val="16"/>
                <w:szCs w:val="16"/>
              </w:rPr>
              <w:t>RSBD-O44</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3BC7DBC1"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D4661B0"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101E9055"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1.000.000,00</w:t>
            </w:r>
          </w:p>
        </w:tc>
        <w:tc>
          <w:tcPr>
            <w:tcW w:w="855" w:type="dxa"/>
            <w:tcBorders>
              <w:top w:val="nil"/>
              <w:left w:val="nil"/>
              <w:bottom w:val="single" w:sz="4" w:space="0" w:color="auto"/>
              <w:right w:val="single" w:sz="4" w:space="0" w:color="auto"/>
            </w:tcBorders>
            <w:shd w:val="clear" w:color="auto" w:fill="auto"/>
            <w:noWrap/>
            <w:vAlign w:val="bottom"/>
            <w:hideMark/>
          </w:tcPr>
          <w:p w14:paraId="7F93B5DC"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60B4C6D6"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123CDAC8"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43A1F8BB" w14:textId="77777777" w:rsidR="00C442DB" w:rsidRPr="00C442DB" w:rsidRDefault="00C442DB" w:rsidP="00C442DB">
            <w:pPr>
              <w:jc w:val="left"/>
              <w:rPr>
                <w:rFonts w:ascii="Calibri" w:hAnsi="Calibri"/>
                <w:sz w:val="16"/>
                <w:szCs w:val="16"/>
              </w:rPr>
            </w:pPr>
            <w:r w:rsidRPr="00C442DB">
              <w:rPr>
                <w:rFonts w:ascii="Calibri" w:hAnsi="Calibri"/>
                <w:sz w:val="16"/>
                <w:szCs w:val="16"/>
              </w:rPr>
              <w:t>27.09.2028.</w:t>
            </w:r>
          </w:p>
        </w:tc>
        <w:tc>
          <w:tcPr>
            <w:tcW w:w="842" w:type="dxa"/>
            <w:tcBorders>
              <w:top w:val="nil"/>
              <w:left w:val="nil"/>
              <w:bottom w:val="single" w:sz="4" w:space="0" w:color="auto"/>
              <w:right w:val="single" w:sz="4" w:space="0" w:color="auto"/>
            </w:tcBorders>
            <w:shd w:val="clear" w:color="auto" w:fill="auto"/>
            <w:noWrap/>
            <w:vAlign w:val="bottom"/>
            <w:hideMark/>
          </w:tcPr>
          <w:p w14:paraId="37D0021D" w14:textId="77777777" w:rsidR="00C442DB" w:rsidRPr="00C442DB" w:rsidRDefault="00AF0599" w:rsidP="00C442DB">
            <w:pPr>
              <w:ind w:right="-108"/>
              <w:jc w:val="left"/>
              <w:rPr>
                <w:rFonts w:ascii="Calibri" w:hAnsi="Calibri"/>
                <w:sz w:val="16"/>
                <w:szCs w:val="16"/>
                <w:lang w:val="sr-Cyrl-RS"/>
              </w:rPr>
            </w:pPr>
            <w:r>
              <w:rPr>
                <w:rFonts w:ascii="Calibri" w:hAnsi="Calibri"/>
                <w:sz w:val="16"/>
                <w:szCs w:val="16"/>
              </w:rPr>
              <w:t>27.09.2024</w:t>
            </w:r>
          </w:p>
        </w:tc>
      </w:tr>
      <w:tr w:rsidR="00C442DB" w:rsidRPr="00C442DB" w14:paraId="0580A4B6"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5EBA5A3F" w14:textId="77777777" w:rsidR="00C442DB" w:rsidRPr="00C442DB" w:rsidRDefault="00C442DB" w:rsidP="00C442DB">
            <w:pPr>
              <w:jc w:val="center"/>
              <w:rPr>
                <w:rFonts w:ascii="Calibri" w:hAnsi="Calibri"/>
                <w:sz w:val="16"/>
                <w:szCs w:val="16"/>
              </w:rPr>
            </w:pPr>
            <w:r w:rsidRPr="00C442DB">
              <w:rPr>
                <w:rFonts w:ascii="Calibri" w:hAnsi="Calibri"/>
                <w:sz w:val="16"/>
                <w:szCs w:val="16"/>
              </w:rPr>
              <w:t>2</w:t>
            </w:r>
          </w:p>
        </w:tc>
        <w:tc>
          <w:tcPr>
            <w:tcW w:w="993" w:type="dxa"/>
            <w:tcBorders>
              <w:top w:val="nil"/>
              <w:left w:val="nil"/>
              <w:bottom w:val="single" w:sz="4" w:space="0" w:color="auto"/>
              <w:right w:val="single" w:sz="4" w:space="0" w:color="auto"/>
            </w:tcBorders>
            <w:shd w:val="clear" w:color="auto" w:fill="auto"/>
            <w:noWrap/>
            <w:vAlign w:val="bottom"/>
            <w:hideMark/>
          </w:tcPr>
          <w:p w14:paraId="2E24FE73" w14:textId="77777777" w:rsidR="00C442DB" w:rsidRPr="00C442DB" w:rsidRDefault="00C442DB" w:rsidP="00C442DB">
            <w:pPr>
              <w:jc w:val="left"/>
              <w:rPr>
                <w:rFonts w:ascii="Calibri" w:hAnsi="Calibri"/>
                <w:sz w:val="16"/>
                <w:szCs w:val="16"/>
              </w:rPr>
            </w:pPr>
            <w:r w:rsidRPr="00C442DB">
              <w:rPr>
                <w:rFonts w:ascii="Calibri" w:hAnsi="Calibri"/>
                <w:sz w:val="16"/>
                <w:szCs w:val="16"/>
              </w:rPr>
              <w:t>RSBD-O-03</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5C425A44"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25.000.000,00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88DD065" w14:textId="77777777" w:rsidR="00C442DB" w:rsidRPr="00C442DB" w:rsidRDefault="00C442DB" w:rsidP="00C442DB">
            <w:pPr>
              <w:jc w:val="right"/>
              <w:rPr>
                <w:rFonts w:ascii="Calibri" w:hAnsi="Calibri"/>
                <w:sz w:val="16"/>
                <w:szCs w:val="16"/>
              </w:rPr>
            </w:pPr>
            <w:r w:rsidRPr="00C442DB">
              <w:rPr>
                <w:rFonts w:ascii="Calibri" w:hAnsi="Calibri"/>
                <w:sz w:val="16"/>
                <w:szCs w:val="16"/>
              </w:rPr>
              <w:t>1.450</w:t>
            </w:r>
          </w:p>
        </w:tc>
        <w:tc>
          <w:tcPr>
            <w:tcW w:w="996" w:type="dxa"/>
            <w:tcBorders>
              <w:top w:val="nil"/>
              <w:left w:val="nil"/>
              <w:bottom w:val="single" w:sz="4" w:space="0" w:color="auto"/>
              <w:right w:val="single" w:sz="4" w:space="0" w:color="auto"/>
            </w:tcBorders>
            <w:shd w:val="clear" w:color="auto" w:fill="auto"/>
            <w:noWrap/>
            <w:vAlign w:val="bottom"/>
            <w:hideMark/>
          </w:tcPr>
          <w:p w14:paraId="7380AFE5"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1.468.850,00</w:t>
            </w:r>
          </w:p>
        </w:tc>
        <w:tc>
          <w:tcPr>
            <w:tcW w:w="855" w:type="dxa"/>
            <w:tcBorders>
              <w:top w:val="nil"/>
              <w:left w:val="nil"/>
              <w:bottom w:val="single" w:sz="4" w:space="0" w:color="auto"/>
              <w:right w:val="single" w:sz="4" w:space="0" w:color="auto"/>
            </w:tcBorders>
            <w:shd w:val="clear" w:color="auto" w:fill="auto"/>
            <w:noWrap/>
            <w:vAlign w:val="bottom"/>
            <w:hideMark/>
          </w:tcPr>
          <w:p w14:paraId="2AE8D21D"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40D167FE"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1.468.850,00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3C8F63B9"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63F191FD" w14:textId="77777777" w:rsidR="00C442DB" w:rsidRPr="00C442DB" w:rsidRDefault="00C442DB" w:rsidP="00C442DB">
            <w:pPr>
              <w:jc w:val="left"/>
              <w:rPr>
                <w:rFonts w:ascii="Calibri" w:hAnsi="Calibri"/>
                <w:sz w:val="16"/>
                <w:szCs w:val="16"/>
              </w:rPr>
            </w:pPr>
            <w:r w:rsidRPr="00C442DB">
              <w:rPr>
                <w:rFonts w:ascii="Calibri" w:hAnsi="Calibri"/>
                <w:sz w:val="16"/>
                <w:szCs w:val="16"/>
              </w:rPr>
              <w:t>21.06.2027.</w:t>
            </w:r>
          </w:p>
        </w:tc>
        <w:tc>
          <w:tcPr>
            <w:tcW w:w="842" w:type="dxa"/>
            <w:tcBorders>
              <w:top w:val="nil"/>
              <w:left w:val="nil"/>
              <w:bottom w:val="single" w:sz="4" w:space="0" w:color="auto"/>
              <w:right w:val="single" w:sz="4" w:space="0" w:color="auto"/>
            </w:tcBorders>
            <w:shd w:val="clear" w:color="auto" w:fill="auto"/>
            <w:noWrap/>
            <w:vAlign w:val="bottom"/>
            <w:hideMark/>
          </w:tcPr>
          <w:p w14:paraId="457A7253"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38098A27"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333B8354" w14:textId="77777777" w:rsidR="00C442DB" w:rsidRPr="00C442DB" w:rsidRDefault="00C442DB" w:rsidP="00C442DB">
            <w:pPr>
              <w:jc w:val="center"/>
              <w:rPr>
                <w:rFonts w:ascii="Calibri" w:hAnsi="Calibri"/>
                <w:sz w:val="16"/>
                <w:szCs w:val="16"/>
              </w:rPr>
            </w:pPr>
            <w:r w:rsidRPr="00C442DB">
              <w:rPr>
                <w:rFonts w:ascii="Calibri" w:hAnsi="Calibri"/>
                <w:sz w:val="16"/>
                <w:szCs w:val="16"/>
              </w:rPr>
              <w:t>3</w:t>
            </w:r>
          </w:p>
        </w:tc>
        <w:tc>
          <w:tcPr>
            <w:tcW w:w="993" w:type="dxa"/>
            <w:tcBorders>
              <w:top w:val="nil"/>
              <w:left w:val="nil"/>
              <w:bottom w:val="single" w:sz="4" w:space="0" w:color="auto"/>
              <w:right w:val="single" w:sz="4" w:space="0" w:color="auto"/>
            </w:tcBorders>
            <w:shd w:val="clear" w:color="auto" w:fill="auto"/>
            <w:noWrap/>
            <w:vAlign w:val="bottom"/>
            <w:hideMark/>
          </w:tcPr>
          <w:p w14:paraId="0D2A039D" w14:textId="77777777" w:rsidR="00C442DB" w:rsidRPr="00C442DB" w:rsidRDefault="00C442DB" w:rsidP="00C442DB">
            <w:pPr>
              <w:jc w:val="left"/>
              <w:rPr>
                <w:rFonts w:ascii="Calibri" w:hAnsi="Calibri"/>
                <w:sz w:val="16"/>
                <w:szCs w:val="16"/>
              </w:rPr>
            </w:pPr>
            <w:r w:rsidRPr="00C442DB">
              <w:rPr>
                <w:rFonts w:ascii="Calibri" w:hAnsi="Calibri"/>
                <w:sz w:val="16"/>
                <w:szCs w:val="16"/>
              </w:rPr>
              <w:t>RSBD-O-08 (4 kupona)</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1FD94633"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100.000.000,00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6D66D3CA" w14:textId="77777777" w:rsidR="00C442DB" w:rsidRPr="00C442DB" w:rsidRDefault="00C442DB" w:rsidP="00C442DB">
            <w:pPr>
              <w:jc w:val="right"/>
              <w:rPr>
                <w:rFonts w:ascii="Calibri" w:hAnsi="Calibri"/>
                <w:sz w:val="16"/>
                <w:szCs w:val="16"/>
              </w:rPr>
            </w:pPr>
            <w:r w:rsidRPr="00C442DB">
              <w:rPr>
                <w:rFonts w:ascii="Calibri" w:hAnsi="Calibri"/>
                <w:sz w:val="16"/>
                <w:szCs w:val="16"/>
              </w:rPr>
              <w:t>1.500</w:t>
            </w:r>
          </w:p>
        </w:tc>
        <w:tc>
          <w:tcPr>
            <w:tcW w:w="996" w:type="dxa"/>
            <w:tcBorders>
              <w:top w:val="nil"/>
              <w:left w:val="nil"/>
              <w:bottom w:val="single" w:sz="4" w:space="0" w:color="auto"/>
              <w:right w:val="single" w:sz="4" w:space="0" w:color="auto"/>
            </w:tcBorders>
            <w:shd w:val="clear" w:color="auto" w:fill="auto"/>
            <w:noWrap/>
            <w:vAlign w:val="bottom"/>
            <w:hideMark/>
          </w:tcPr>
          <w:p w14:paraId="1CD7CE3E"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1.505.250,00</w:t>
            </w:r>
          </w:p>
        </w:tc>
        <w:tc>
          <w:tcPr>
            <w:tcW w:w="855" w:type="dxa"/>
            <w:tcBorders>
              <w:top w:val="nil"/>
              <w:left w:val="nil"/>
              <w:bottom w:val="single" w:sz="4" w:space="0" w:color="auto"/>
              <w:right w:val="single" w:sz="4" w:space="0" w:color="auto"/>
            </w:tcBorders>
            <w:shd w:val="clear" w:color="auto" w:fill="auto"/>
            <w:noWrap/>
            <w:vAlign w:val="bottom"/>
            <w:hideMark/>
          </w:tcPr>
          <w:p w14:paraId="1E0FDCB1" w14:textId="77777777" w:rsidR="00C442DB" w:rsidRPr="00C442DB" w:rsidRDefault="00C442DB" w:rsidP="00C442DB">
            <w:pPr>
              <w:jc w:val="right"/>
              <w:rPr>
                <w:rFonts w:ascii="Calibri" w:hAnsi="Calibri"/>
                <w:sz w:val="16"/>
                <w:szCs w:val="16"/>
              </w:rPr>
            </w:pPr>
            <w:r w:rsidRPr="00C442DB">
              <w:rPr>
                <w:rFonts w:ascii="Calibri" w:hAnsi="Calibri"/>
                <w:sz w:val="16"/>
                <w:szCs w:val="16"/>
              </w:rPr>
              <w:t>3,00%</w:t>
            </w:r>
          </w:p>
        </w:tc>
        <w:tc>
          <w:tcPr>
            <w:tcW w:w="995" w:type="dxa"/>
            <w:tcBorders>
              <w:top w:val="nil"/>
              <w:left w:val="nil"/>
              <w:bottom w:val="single" w:sz="4" w:space="0" w:color="auto"/>
              <w:right w:val="single" w:sz="4" w:space="0" w:color="auto"/>
            </w:tcBorders>
            <w:shd w:val="clear" w:color="auto" w:fill="auto"/>
            <w:noWrap/>
            <w:vAlign w:val="bottom"/>
            <w:hideMark/>
          </w:tcPr>
          <w:p w14:paraId="619246AB"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5.250,00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43ADFC31"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04B0B720" w14:textId="77777777" w:rsidR="00C442DB" w:rsidRPr="00C442DB" w:rsidRDefault="00C442DB" w:rsidP="00C442DB">
            <w:pPr>
              <w:jc w:val="left"/>
              <w:rPr>
                <w:rFonts w:ascii="Calibri" w:hAnsi="Calibri"/>
                <w:sz w:val="16"/>
                <w:szCs w:val="16"/>
              </w:rPr>
            </w:pPr>
            <w:r w:rsidRPr="00C442DB">
              <w:rPr>
                <w:rFonts w:ascii="Calibri" w:hAnsi="Calibri"/>
                <w:sz w:val="16"/>
                <w:szCs w:val="16"/>
              </w:rPr>
              <w:t>31.01.2023.</w:t>
            </w:r>
          </w:p>
        </w:tc>
        <w:tc>
          <w:tcPr>
            <w:tcW w:w="842" w:type="dxa"/>
            <w:tcBorders>
              <w:top w:val="nil"/>
              <w:left w:val="nil"/>
              <w:bottom w:val="single" w:sz="4" w:space="0" w:color="auto"/>
              <w:right w:val="single" w:sz="4" w:space="0" w:color="auto"/>
            </w:tcBorders>
            <w:shd w:val="clear" w:color="auto" w:fill="auto"/>
            <w:noWrap/>
            <w:vAlign w:val="bottom"/>
            <w:hideMark/>
          </w:tcPr>
          <w:p w14:paraId="0A6DF981"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03F987A4"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6105CE29" w14:textId="77777777" w:rsidR="00C442DB" w:rsidRPr="00C442DB" w:rsidRDefault="00C442DB" w:rsidP="00C442DB">
            <w:pPr>
              <w:jc w:val="center"/>
              <w:rPr>
                <w:rFonts w:ascii="Calibri" w:hAnsi="Calibri"/>
                <w:sz w:val="16"/>
                <w:szCs w:val="16"/>
              </w:rPr>
            </w:pPr>
            <w:r w:rsidRPr="00C442DB">
              <w:rPr>
                <w:rFonts w:ascii="Calibri" w:hAnsi="Calibri"/>
                <w:sz w:val="16"/>
                <w:szCs w:val="16"/>
              </w:rPr>
              <w:t>4</w:t>
            </w:r>
          </w:p>
        </w:tc>
        <w:tc>
          <w:tcPr>
            <w:tcW w:w="993" w:type="dxa"/>
            <w:tcBorders>
              <w:top w:val="nil"/>
              <w:left w:val="nil"/>
              <w:bottom w:val="single" w:sz="4" w:space="0" w:color="auto"/>
              <w:right w:val="single" w:sz="4" w:space="0" w:color="auto"/>
            </w:tcBorders>
            <w:shd w:val="clear" w:color="auto" w:fill="auto"/>
            <w:noWrap/>
            <w:vAlign w:val="bottom"/>
            <w:hideMark/>
          </w:tcPr>
          <w:p w14:paraId="36C2EC7D" w14:textId="77777777" w:rsidR="00C442DB" w:rsidRPr="00C442DB" w:rsidRDefault="00C442DB" w:rsidP="00C442DB">
            <w:pPr>
              <w:jc w:val="left"/>
              <w:rPr>
                <w:rFonts w:ascii="Calibri" w:hAnsi="Calibri"/>
                <w:sz w:val="16"/>
                <w:szCs w:val="16"/>
              </w:rPr>
            </w:pPr>
            <w:r w:rsidRPr="00C442DB">
              <w:rPr>
                <w:rFonts w:ascii="Calibri" w:hAnsi="Calibri"/>
                <w:sz w:val="16"/>
                <w:szCs w:val="16"/>
              </w:rPr>
              <w:t>RSBD-O09</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6EF738F8"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1D517FD3" w14:textId="77777777" w:rsidR="00C442DB" w:rsidRPr="00C442DB" w:rsidRDefault="00C442DB" w:rsidP="00C442DB">
            <w:pPr>
              <w:jc w:val="right"/>
              <w:rPr>
                <w:rFonts w:ascii="Calibri" w:hAnsi="Calibri"/>
                <w:sz w:val="16"/>
                <w:szCs w:val="16"/>
              </w:rPr>
            </w:pPr>
            <w:r w:rsidRPr="00C442DB">
              <w:rPr>
                <w:rFonts w:ascii="Calibri" w:hAnsi="Calibri"/>
                <w:sz w:val="16"/>
                <w:szCs w:val="16"/>
              </w:rPr>
              <w:t>1.500</w:t>
            </w:r>
          </w:p>
        </w:tc>
        <w:tc>
          <w:tcPr>
            <w:tcW w:w="996" w:type="dxa"/>
            <w:tcBorders>
              <w:top w:val="nil"/>
              <w:left w:val="nil"/>
              <w:bottom w:val="single" w:sz="4" w:space="0" w:color="auto"/>
              <w:right w:val="single" w:sz="4" w:space="0" w:color="auto"/>
            </w:tcBorders>
            <w:shd w:val="clear" w:color="auto" w:fill="auto"/>
            <w:noWrap/>
            <w:vAlign w:val="bottom"/>
            <w:hideMark/>
          </w:tcPr>
          <w:p w14:paraId="5AA193B3"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1.573.350,00</w:t>
            </w:r>
          </w:p>
        </w:tc>
        <w:tc>
          <w:tcPr>
            <w:tcW w:w="855" w:type="dxa"/>
            <w:tcBorders>
              <w:top w:val="nil"/>
              <w:left w:val="nil"/>
              <w:bottom w:val="single" w:sz="4" w:space="0" w:color="auto"/>
              <w:right w:val="single" w:sz="4" w:space="0" w:color="auto"/>
            </w:tcBorders>
            <w:shd w:val="clear" w:color="auto" w:fill="auto"/>
            <w:noWrap/>
            <w:vAlign w:val="bottom"/>
            <w:hideMark/>
          </w:tcPr>
          <w:p w14:paraId="03AC0FE6" w14:textId="77777777" w:rsidR="00C442DB" w:rsidRPr="00C442DB" w:rsidRDefault="00C442DB" w:rsidP="00C442DB">
            <w:pPr>
              <w:jc w:val="right"/>
              <w:rPr>
                <w:rFonts w:ascii="Calibri" w:hAnsi="Calibri"/>
                <w:sz w:val="16"/>
                <w:szCs w:val="16"/>
              </w:rPr>
            </w:pPr>
            <w:r w:rsidRPr="00C442DB">
              <w:rPr>
                <w:rFonts w:ascii="Calibri" w:hAnsi="Calibri"/>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14:paraId="7AEAA42C"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1.573.350,00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16A91FFA"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713C7430"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07.02.2024.</w:t>
            </w:r>
          </w:p>
        </w:tc>
        <w:tc>
          <w:tcPr>
            <w:tcW w:w="842" w:type="dxa"/>
            <w:tcBorders>
              <w:top w:val="nil"/>
              <w:left w:val="nil"/>
              <w:bottom w:val="single" w:sz="4" w:space="0" w:color="auto"/>
              <w:right w:val="single" w:sz="4" w:space="0" w:color="auto"/>
            </w:tcBorders>
            <w:shd w:val="clear" w:color="auto" w:fill="auto"/>
            <w:noWrap/>
            <w:vAlign w:val="bottom"/>
            <w:hideMark/>
          </w:tcPr>
          <w:p w14:paraId="37424262"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4AEB7543"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16D5507C" w14:textId="77777777" w:rsidR="00C442DB" w:rsidRPr="00C442DB" w:rsidRDefault="00C442DB" w:rsidP="00C442DB">
            <w:pPr>
              <w:jc w:val="center"/>
              <w:rPr>
                <w:rFonts w:ascii="Calibri" w:hAnsi="Calibri"/>
                <w:sz w:val="16"/>
                <w:szCs w:val="16"/>
              </w:rPr>
            </w:pPr>
            <w:r w:rsidRPr="00C442DB">
              <w:rPr>
                <w:rFonts w:ascii="Calibri" w:hAnsi="Calibri"/>
                <w:sz w:val="16"/>
                <w:szCs w:val="16"/>
              </w:rPr>
              <w:t>5</w:t>
            </w:r>
          </w:p>
        </w:tc>
        <w:tc>
          <w:tcPr>
            <w:tcW w:w="993" w:type="dxa"/>
            <w:tcBorders>
              <w:top w:val="nil"/>
              <w:left w:val="nil"/>
              <w:bottom w:val="single" w:sz="4" w:space="0" w:color="auto"/>
              <w:right w:val="single" w:sz="4" w:space="0" w:color="auto"/>
            </w:tcBorders>
            <w:shd w:val="clear" w:color="auto" w:fill="auto"/>
            <w:noWrap/>
            <w:vAlign w:val="bottom"/>
            <w:hideMark/>
          </w:tcPr>
          <w:p w14:paraId="107D577A" w14:textId="77777777" w:rsidR="00C442DB" w:rsidRPr="00C442DB" w:rsidRDefault="00C442DB" w:rsidP="00C442DB">
            <w:pPr>
              <w:jc w:val="left"/>
              <w:rPr>
                <w:rFonts w:ascii="Calibri" w:hAnsi="Calibri"/>
                <w:sz w:val="16"/>
                <w:szCs w:val="16"/>
              </w:rPr>
            </w:pPr>
            <w:r w:rsidRPr="00C442DB">
              <w:rPr>
                <w:rFonts w:ascii="Calibri" w:hAnsi="Calibri"/>
                <w:sz w:val="16"/>
                <w:szCs w:val="16"/>
              </w:rPr>
              <w:t>RSBD-O10</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3391A02A"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36.000.000,00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4BA319D"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260E4361"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1.061.000,00</w:t>
            </w:r>
          </w:p>
        </w:tc>
        <w:tc>
          <w:tcPr>
            <w:tcW w:w="855" w:type="dxa"/>
            <w:tcBorders>
              <w:top w:val="nil"/>
              <w:left w:val="nil"/>
              <w:bottom w:val="single" w:sz="4" w:space="0" w:color="auto"/>
              <w:right w:val="single" w:sz="4" w:space="0" w:color="auto"/>
            </w:tcBorders>
            <w:shd w:val="clear" w:color="auto" w:fill="auto"/>
            <w:noWrap/>
            <w:vAlign w:val="bottom"/>
            <w:hideMark/>
          </w:tcPr>
          <w:p w14:paraId="0C3BB715" w14:textId="77777777" w:rsidR="00C442DB" w:rsidRPr="00C442DB" w:rsidRDefault="00C442DB" w:rsidP="00C442DB">
            <w:pPr>
              <w:jc w:val="right"/>
              <w:rPr>
                <w:rFonts w:ascii="Calibri" w:hAnsi="Calibri"/>
                <w:sz w:val="16"/>
                <w:szCs w:val="16"/>
              </w:rPr>
            </w:pPr>
            <w:r w:rsidRPr="00C442DB">
              <w:rPr>
                <w:rFonts w:ascii="Calibri" w:hAnsi="Calibri"/>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14:paraId="69EB681C"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1.061.000,00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705DEF4"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0746F5E2"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06.03.2024.</w:t>
            </w:r>
          </w:p>
        </w:tc>
        <w:tc>
          <w:tcPr>
            <w:tcW w:w="842" w:type="dxa"/>
            <w:tcBorders>
              <w:top w:val="nil"/>
              <w:left w:val="nil"/>
              <w:bottom w:val="single" w:sz="4" w:space="0" w:color="auto"/>
              <w:right w:val="single" w:sz="4" w:space="0" w:color="auto"/>
            </w:tcBorders>
            <w:shd w:val="clear" w:color="auto" w:fill="auto"/>
            <w:noWrap/>
            <w:vAlign w:val="bottom"/>
            <w:hideMark/>
          </w:tcPr>
          <w:p w14:paraId="48539E44"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13007B6E"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45FE6E05" w14:textId="77777777" w:rsidR="00C442DB" w:rsidRPr="00C442DB" w:rsidRDefault="00C442DB" w:rsidP="00C442DB">
            <w:pPr>
              <w:jc w:val="center"/>
              <w:rPr>
                <w:rFonts w:ascii="Calibri" w:hAnsi="Calibri"/>
                <w:sz w:val="16"/>
                <w:szCs w:val="16"/>
              </w:rPr>
            </w:pPr>
            <w:r w:rsidRPr="00C442DB">
              <w:rPr>
                <w:rFonts w:ascii="Calibri" w:hAnsi="Calibri"/>
                <w:sz w:val="16"/>
                <w:szCs w:val="16"/>
              </w:rPr>
              <w:t>6</w:t>
            </w:r>
          </w:p>
        </w:tc>
        <w:tc>
          <w:tcPr>
            <w:tcW w:w="993" w:type="dxa"/>
            <w:tcBorders>
              <w:top w:val="nil"/>
              <w:left w:val="nil"/>
              <w:bottom w:val="single" w:sz="4" w:space="0" w:color="auto"/>
              <w:right w:val="single" w:sz="4" w:space="0" w:color="auto"/>
            </w:tcBorders>
            <w:shd w:val="clear" w:color="auto" w:fill="auto"/>
            <w:noWrap/>
            <w:vAlign w:val="bottom"/>
            <w:hideMark/>
          </w:tcPr>
          <w:p w14:paraId="4CCF981F" w14:textId="77777777" w:rsidR="00C442DB" w:rsidRPr="00C442DB" w:rsidRDefault="00C442DB" w:rsidP="00C442DB">
            <w:pPr>
              <w:jc w:val="left"/>
              <w:rPr>
                <w:rFonts w:ascii="Calibri" w:hAnsi="Calibri"/>
                <w:sz w:val="16"/>
                <w:szCs w:val="16"/>
              </w:rPr>
            </w:pPr>
            <w:r w:rsidRPr="00C442DB">
              <w:rPr>
                <w:rFonts w:ascii="Calibri" w:hAnsi="Calibri"/>
                <w:sz w:val="16"/>
                <w:szCs w:val="16"/>
              </w:rPr>
              <w:t>RSBD-O11</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530BC317"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30.000.000,00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05481D6E"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3A9DB0CB"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1.063.200,00</w:t>
            </w:r>
          </w:p>
        </w:tc>
        <w:tc>
          <w:tcPr>
            <w:tcW w:w="855" w:type="dxa"/>
            <w:tcBorders>
              <w:top w:val="nil"/>
              <w:left w:val="nil"/>
              <w:bottom w:val="single" w:sz="4" w:space="0" w:color="auto"/>
              <w:right w:val="single" w:sz="4" w:space="0" w:color="auto"/>
            </w:tcBorders>
            <w:shd w:val="clear" w:color="auto" w:fill="auto"/>
            <w:noWrap/>
            <w:vAlign w:val="bottom"/>
            <w:hideMark/>
          </w:tcPr>
          <w:p w14:paraId="4E943F8D" w14:textId="77777777" w:rsidR="00C442DB" w:rsidRPr="00C442DB" w:rsidRDefault="00C442DB" w:rsidP="00C442DB">
            <w:pPr>
              <w:jc w:val="right"/>
              <w:rPr>
                <w:rFonts w:ascii="Calibri" w:hAnsi="Calibri"/>
                <w:sz w:val="16"/>
                <w:szCs w:val="16"/>
              </w:rPr>
            </w:pPr>
            <w:r w:rsidRPr="00C442DB">
              <w:rPr>
                <w:rFonts w:ascii="Calibri" w:hAnsi="Calibri"/>
                <w:sz w:val="16"/>
                <w:szCs w:val="16"/>
              </w:rPr>
              <w:t>4,00%</w:t>
            </w:r>
          </w:p>
        </w:tc>
        <w:tc>
          <w:tcPr>
            <w:tcW w:w="995" w:type="dxa"/>
            <w:tcBorders>
              <w:top w:val="nil"/>
              <w:left w:val="nil"/>
              <w:bottom w:val="single" w:sz="4" w:space="0" w:color="auto"/>
              <w:right w:val="single" w:sz="4" w:space="0" w:color="auto"/>
            </w:tcBorders>
            <w:shd w:val="clear" w:color="auto" w:fill="auto"/>
            <w:noWrap/>
            <w:vAlign w:val="bottom"/>
            <w:hideMark/>
          </w:tcPr>
          <w:p w14:paraId="2856DBF7"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1.063.200,00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741611B"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12372280"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05.04.2029.</w:t>
            </w:r>
          </w:p>
        </w:tc>
        <w:tc>
          <w:tcPr>
            <w:tcW w:w="842" w:type="dxa"/>
            <w:tcBorders>
              <w:top w:val="nil"/>
              <w:left w:val="nil"/>
              <w:bottom w:val="single" w:sz="4" w:space="0" w:color="auto"/>
              <w:right w:val="single" w:sz="4" w:space="0" w:color="auto"/>
            </w:tcBorders>
            <w:shd w:val="clear" w:color="auto" w:fill="auto"/>
            <w:noWrap/>
            <w:vAlign w:val="bottom"/>
            <w:hideMark/>
          </w:tcPr>
          <w:p w14:paraId="68334C3C"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4185E5CC"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148BF871" w14:textId="77777777" w:rsidR="00C442DB" w:rsidRPr="00C442DB" w:rsidRDefault="00C442DB" w:rsidP="00C442DB">
            <w:pPr>
              <w:jc w:val="center"/>
              <w:rPr>
                <w:rFonts w:ascii="Calibri" w:hAnsi="Calibri"/>
                <w:sz w:val="16"/>
                <w:szCs w:val="16"/>
              </w:rPr>
            </w:pPr>
            <w:r w:rsidRPr="00C442DB">
              <w:rPr>
                <w:rFonts w:ascii="Calibri" w:hAnsi="Calibri"/>
                <w:sz w:val="16"/>
                <w:szCs w:val="16"/>
              </w:rPr>
              <w:t>7</w:t>
            </w:r>
          </w:p>
        </w:tc>
        <w:tc>
          <w:tcPr>
            <w:tcW w:w="993" w:type="dxa"/>
            <w:tcBorders>
              <w:top w:val="nil"/>
              <w:left w:val="nil"/>
              <w:bottom w:val="single" w:sz="4" w:space="0" w:color="auto"/>
              <w:right w:val="single" w:sz="4" w:space="0" w:color="auto"/>
            </w:tcBorders>
            <w:shd w:val="clear" w:color="auto" w:fill="auto"/>
            <w:noWrap/>
            <w:vAlign w:val="bottom"/>
            <w:hideMark/>
          </w:tcPr>
          <w:p w14:paraId="58C6B37B" w14:textId="77777777" w:rsidR="00C442DB" w:rsidRPr="00C442DB" w:rsidRDefault="00C442DB" w:rsidP="00C442DB">
            <w:pPr>
              <w:jc w:val="left"/>
              <w:rPr>
                <w:rFonts w:ascii="Calibri" w:hAnsi="Calibri"/>
                <w:sz w:val="16"/>
                <w:szCs w:val="16"/>
              </w:rPr>
            </w:pPr>
            <w:r w:rsidRPr="00C442DB">
              <w:rPr>
                <w:rFonts w:ascii="Calibri" w:hAnsi="Calibri"/>
                <w:sz w:val="16"/>
                <w:szCs w:val="16"/>
              </w:rPr>
              <w:t>RSBD-013</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59E06ADF"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35.000.000,00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1170CA27"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nil"/>
              <w:left w:val="nil"/>
              <w:bottom w:val="single" w:sz="4" w:space="0" w:color="auto"/>
              <w:right w:val="single" w:sz="4" w:space="0" w:color="auto"/>
            </w:tcBorders>
            <w:shd w:val="clear" w:color="auto" w:fill="auto"/>
            <w:noWrap/>
            <w:vAlign w:val="bottom"/>
            <w:hideMark/>
          </w:tcPr>
          <w:p w14:paraId="2F07E52E"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1.070.700,00</w:t>
            </w:r>
          </w:p>
        </w:tc>
        <w:tc>
          <w:tcPr>
            <w:tcW w:w="855" w:type="dxa"/>
            <w:tcBorders>
              <w:top w:val="nil"/>
              <w:left w:val="nil"/>
              <w:bottom w:val="single" w:sz="4" w:space="0" w:color="auto"/>
              <w:right w:val="single" w:sz="4" w:space="0" w:color="auto"/>
            </w:tcBorders>
            <w:shd w:val="clear" w:color="auto" w:fill="auto"/>
            <w:noWrap/>
            <w:vAlign w:val="bottom"/>
            <w:hideMark/>
          </w:tcPr>
          <w:p w14:paraId="5CEFD33A" w14:textId="77777777" w:rsidR="00C442DB" w:rsidRPr="00C442DB" w:rsidRDefault="00C442DB" w:rsidP="00C442DB">
            <w:pPr>
              <w:jc w:val="right"/>
              <w:rPr>
                <w:rFonts w:ascii="Calibri" w:hAnsi="Calibri"/>
                <w:sz w:val="16"/>
                <w:szCs w:val="16"/>
              </w:rPr>
            </w:pPr>
            <w:r w:rsidRPr="00C442DB">
              <w:rPr>
                <w:rFonts w:ascii="Calibri" w:hAnsi="Calibri"/>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14:paraId="778736C7"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1.070.700,00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194D60EA"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488BA4C8"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19.06.2024.</w:t>
            </w:r>
          </w:p>
        </w:tc>
        <w:tc>
          <w:tcPr>
            <w:tcW w:w="842" w:type="dxa"/>
            <w:tcBorders>
              <w:top w:val="nil"/>
              <w:left w:val="nil"/>
              <w:bottom w:val="single" w:sz="4" w:space="0" w:color="auto"/>
              <w:right w:val="single" w:sz="4" w:space="0" w:color="auto"/>
            </w:tcBorders>
            <w:shd w:val="clear" w:color="auto" w:fill="auto"/>
            <w:noWrap/>
            <w:vAlign w:val="bottom"/>
            <w:hideMark/>
          </w:tcPr>
          <w:p w14:paraId="303D7A34"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1C887409"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48CD92D5" w14:textId="77777777" w:rsidR="00C442DB" w:rsidRPr="00C442DB" w:rsidRDefault="00C442DB" w:rsidP="00C442DB">
            <w:pPr>
              <w:jc w:val="center"/>
              <w:rPr>
                <w:rFonts w:ascii="Calibri" w:hAnsi="Calibri"/>
                <w:sz w:val="16"/>
                <w:szCs w:val="16"/>
              </w:rPr>
            </w:pPr>
            <w:r w:rsidRPr="00C442DB">
              <w:rPr>
                <w:rFonts w:ascii="Calibri" w:hAnsi="Calibri"/>
                <w:sz w:val="16"/>
                <w:szCs w:val="16"/>
              </w:rPr>
              <w:t>8</w:t>
            </w:r>
          </w:p>
        </w:tc>
        <w:tc>
          <w:tcPr>
            <w:tcW w:w="993" w:type="dxa"/>
            <w:tcBorders>
              <w:top w:val="nil"/>
              <w:left w:val="nil"/>
              <w:bottom w:val="single" w:sz="4" w:space="0" w:color="auto"/>
              <w:right w:val="single" w:sz="4" w:space="0" w:color="auto"/>
            </w:tcBorders>
            <w:shd w:val="clear" w:color="auto" w:fill="auto"/>
            <w:noWrap/>
            <w:vAlign w:val="bottom"/>
            <w:hideMark/>
          </w:tcPr>
          <w:p w14:paraId="1186D969" w14:textId="77777777" w:rsidR="00C442DB" w:rsidRPr="00C442DB" w:rsidRDefault="00C442DB" w:rsidP="00C442DB">
            <w:pPr>
              <w:jc w:val="left"/>
              <w:rPr>
                <w:rFonts w:ascii="Calibri" w:hAnsi="Calibri"/>
                <w:sz w:val="16"/>
                <w:szCs w:val="16"/>
              </w:rPr>
            </w:pPr>
            <w:r w:rsidRPr="00C442DB">
              <w:rPr>
                <w:rFonts w:ascii="Calibri" w:hAnsi="Calibri"/>
                <w:sz w:val="16"/>
                <w:szCs w:val="16"/>
              </w:rPr>
              <w:t>RSBD -019</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7D4F576D"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300.000.000,00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67D9D8F8" w14:textId="77777777" w:rsidR="00C442DB" w:rsidRPr="00C442DB" w:rsidRDefault="00C442DB" w:rsidP="00C442DB">
            <w:pPr>
              <w:jc w:val="right"/>
              <w:rPr>
                <w:rFonts w:ascii="Calibri" w:hAnsi="Calibri"/>
                <w:sz w:val="16"/>
                <w:szCs w:val="16"/>
              </w:rPr>
            </w:pPr>
            <w:r w:rsidRPr="00C442DB">
              <w:rPr>
                <w:rFonts w:ascii="Calibri" w:hAnsi="Calibri"/>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14:paraId="2B65A359"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477.050,00</w:t>
            </w:r>
          </w:p>
        </w:tc>
        <w:tc>
          <w:tcPr>
            <w:tcW w:w="855" w:type="dxa"/>
            <w:tcBorders>
              <w:top w:val="nil"/>
              <w:left w:val="nil"/>
              <w:bottom w:val="single" w:sz="4" w:space="0" w:color="auto"/>
              <w:right w:val="single" w:sz="4" w:space="0" w:color="auto"/>
            </w:tcBorders>
            <w:shd w:val="clear" w:color="auto" w:fill="auto"/>
            <w:noWrap/>
            <w:vAlign w:val="bottom"/>
            <w:hideMark/>
          </w:tcPr>
          <w:p w14:paraId="75384D78" w14:textId="77777777" w:rsidR="00C442DB" w:rsidRPr="00C442DB" w:rsidRDefault="00C442DB" w:rsidP="00C442DB">
            <w:pPr>
              <w:jc w:val="right"/>
              <w:rPr>
                <w:rFonts w:ascii="Calibri" w:hAnsi="Calibri"/>
                <w:sz w:val="16"/>
                <w:szCs w:val="16"/>
              </w:rPr>
            </w:pPr>
            <w:r w:rsidRPr="00C442DB">
              <w:rPr>
                <w:rFonts w:ascii="Calibri" w:hAnsi="Calibri"/>
                <w:sz w:val="16"/>
                <w:szCs w:val="16"/>
              </w:rPr>
              <w:t>3,00%</w:t>
            </w:r>
          </w:p>
        </w:tc>
        <w:tc>
          <w:tcPr>
            <w:tcW w:w="995" w:type="dxa"/>
            <w:tcBorders>
              <w:top w:val="nil"/>
              <w:left w:val="nil"/>
              <w:bottom w:val="single" w:sz="4" w:space="0" w:color="auto"/>
              <w:right w:val="single" w:sz="4" w:space="0" w:color="auto"/>
            </w:tcBorders>
            <w:shd w:val="clear" w:color="auto" w:fill="auto"/>
            <w:noWrap/>
            <w:vAlign w:val="bottom"/>
            <w:hideMark/>
          </w:tcPr>
          <w:p w14:paraId="0C00E105" w14:textId="77777777" w:rsidR="00C442DB" w:rsidRPr="00C442DB" w:rsidRDefault="00C442DB" w:rsidP="00C442DB">
            <w:pPr>
              <w:ind w:right="-108"/>
              <w:jc w:val="right"/>
              <w:rPr>
                <w:rFonts w:ascii="Calibri" w:hAnsi="Calibri"/>
                <w:sz w:val="16"/>
                <w:szCs w:val="16"/>
              </w:rPr>
            </w:pPr>
            <w:r w:rsidRPr="00C442DB">
              <w:rPr>
                <w:rFonts w:ascii="Calibri" w:hAnsi="Calibri"/>
                <w:sz w:val="16"/>
                <w:szCs w:val="16"/>
              </w:rPr>
              <w:t>477.050,00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18C52A00" w14:textId="77777777" w:rsidR="00C442DB" w:rsidRPr="00C442DB" w:rsidRDefault="00C442DB" w:rsidP="00C442DB">
            <w:pPr>
              <w:jc w:val="left"/>
              <w:rPr>
                <w:rFonts w:ascii="Calibri" w:hAnsi="Calibri"/>
                <w:sz w:val="16"/>
                <w:szCs w:val="16"/>
              </w:rPr>
            </w:pPr>
            <w:r w:rsidRPr="00C442DB">
              <w:rPr>
                <w:rFonts w:ascii="Calibri" w:hAnsi="Calibri"/>
                <w:sz w:val="16"/>
                <w:szCs w:val="16"/>
              </w:rPr>
              <w:t>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5EE909C8"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16.04.2025.</w:t>
            </w:r>
          </w:p>
        </w:tc>
        <w:tc>
          <w:tcPr>
            <w:tcW w:w="842" w:type="dxa"/>
            <w:tcBorders>
              <w:top w:val="nil"/>
              <w:left w:val="nil"/>
              <w:bottom w:val="single" w:sz="4" w:space="0" w:color="auto"/>
              <w:right w:val="single" w:sz="4" w:space="0" w:color="auto"/>
            </w:tcBorders>
            <w:shd w:val="clear" w:color="auto" w:fill="auto"/>
            <w:noWrap/>
            <w:vAlign w:val="bottom"/>
            <w:hideMark/>
          </w:tcPr>
          <w:p w14:paraId="2D2917F2" w14:textId="77777777" w:rsidR="00C442DB" w:rsidRPr="00C442DB" w:rsidRDefault="00C442DB" w:rsidP="00C442DB">
            <w:pPr>
              <w:ind w:right="-108"/>
              <w:jc w:val="left"/>
              <w:rPr>
                <w:rFonts w:ascii="Calibri" w:hAnsi="Calibri"/>
                <w:sz w:val="16"/>
                <w:szCs w:val="16"/>
              </w:rPr>
            </w:pPr>
            <w:r w:rsidRPr="00C442DB">
              <w:rPr>
                <w:rFonts w:ascii="Calibri" w:hAnsi="Calibri"/>
                <w:sz w:val="16"/>
                <w:szCs w:val="16"/>
              </w:rPr>
              <w:t>Na kraju</w:t>
            </w:r>
          </w:p>
        </w:tc>
      </w:tr>
      <w:tr w:rsidR="00C442DB" w:rsidRPr="00C442DB" w14:paraId="60FE008A" w14:textId="77777777" w:rsidTr="002A24EC">
        <w:trPr>
          <w:trHeight w:val="315"/>
        </w:trPr>
        <w:tc>
          <w:tcPr>
            <w:tcW w:w="3555" w:type="dxa"/>
            <w:gridSpan w:val="7"/>
            <w:tcBorders>
              <w:top w:val="single" w:sz="4" w:space="0" w:color="auto"/>
              <w:left w:val="single" w:sz="4" w:space="0" w:color="auto"/>
              <w:bottom w:val="single" w:sz="4" w:space="0" w:color="auto"/>
              <w:right w:val="single" w:sz="4" w:space="0" w:color="000000"/>
            </w:tcBorders>
            <w:shd w:val="clear" w:color="000000" w:fill="C5D9F1"/>
            <w:vAlign w:val="center"/>
            <w:hideMark/>
          </w:tcPr>
          <w:p w14:paraId="39D83DEF"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UKUPNO HOV REPUBLIKE SRPSKE (8)</w:t>
            </w:r>
          </w:p>
        </w:tc>
        <w:tc>
          <w:tcPr>
            <w:tcW w:w="996" w:type="dxa"/>
            <w:tcBorders>
              <w:top w:val="nil"/>
              <w:left w:val="nil"/>
              <w:bottom w:val="single" w:sz="4" w:space="0" w:color="auto"/>
              <w:right w:val="single" w:sz="4" w:space="0" w:color="auto"/>
            </w:tcBorders>
            <w:shd w:val="clear" w:color="000000" w:fill="C5D9F1"/>
            <w:noWrap/>
            <w:vAlign w:val="center"/>
            <w:hideMark/>
          </w:tcPr>
          <w:p w14:paraId="37CCCA4C" w14:textId="77777777" w:rsidR="00C442DB" w:rsidRPr="00C442DB" w:rsidRDefault="00C442DB" w:rsidP="00C442DB">
            <w:pPr>
              <w:ind w:right="-150"/>
              <w:jc w:val="right"/>
              <w:rPr>
                <w:rFonts w:ascii="Calibri" w:hAnsi="Calibri"/>
                <w:b/>
                <w:bCs/>
                <w:sz w:val="16"/>
                <w:szCs w:val="16"/>
              </w:rPr>
            </w:pPr>
            <w:r w:rsidRPr="00C442DB">
              <w:rPr>
                <w:rFonts w:ascii="Calibri" w:hAnsi="Calibri"/>
                <w:b/>
                <w:bCs/>
                <w:sz w:val="16"/>
                <w:szCs w:val="16"/>
              </w:rPr>
              <w:t>9.219.400,00</w:t>
            </w:r>
          </w:p>
        </w:tc>
        <w:tc>
          <w:tcPr>
            <w:tcW w:w="855" w:type="dxa"/>
            <w:tcBorders>
              <w:top w:val="nil"/>
              <w:left w:val="nil"/>
              <w:bottom w:val="single" w:sz="4" w:space="0" w:color="auto"/>
              <w:right w:val="single" w:sz="4" w:space="0" w:color="auto"/>
            </w:tcBorders>
            <w:shd w:val="clear" w:color="000000" w:fill="C5D9F1"/>
            <w:noWrap/>
            <w:vAlign w:val="center"/>
            <w:hideMark/>
          </w:tcPr>
          <w:p w14:paraId="4679A298" w14:textId="77777777" w:rsidR="00C442DB" w:rsidRPr="00C442DB" w:rsidRDefault="00C442DB" w:rsidP="00C442DB">
            <w:pPr>
              <w:ind w:right="-150"/>
              <w:jc w:val="left"/>
              <w:rPr>
                <w:rFonts w:ascii="Calibri" w:hAnsi="Calibri"/>
                <w:b/>
                <w:bCs/>
                <w:sz w:val="16"/>
                <w:szCs w:val="16"/>
              </w:rPr>
            </w:pPr>
            <w:r w:rsidRPr="00C442DB">
              <w:rPr>
                <w:rFonts w:ascii="Calibri" w:hAnsi="Calibri"/>
                <w:b/>
                <w:bCs/>
                <w:sz w:val="16"/>
                <w:szCs w:val="16"/>
              </w:rPr>
              <w:t> </w:t>
            </w:r>
          </w:p>
        </w:tc>
        <w:tc>
          <w:tcPr>
            <w:tcW w:w="995" w:type="dxa"/>
            <w:tcBorders>
              <w:top w:val="nil"/>
              <w:left w:val="nil"/>
              <w:bottom w:val="single" w:sz="4" w:space="0" w:color="auto"/>
              <w:right w:val="single" w:sz="4" w:space="0" w:color="auto"/>
            </w:tcBorders>
            <w:shd w:val="clear" w:color="000000" w:fill="C5D9F1"/>
            <w:noWrap/>
            <w:vAlign w:val="center"/>
            <w:hideMark/>
          </w:tcPr>
          <w:p w14:paraId="435F8B05" w14:textId="77777777" w:rsidR="00C442DB" w:rsidRPr="00C442DB" w:rsidRDefault="00C442DB" w:rsidP="00C442DB">
            <w:pPr>
              <w:ind w:left="-71" w:right="-150"/>
              <w:jc w:val="right"/>
              <w:rPr>
                <w:rFonts w:ascii="Calibri" w:hAnsi="Calibri"/>
                <w:b/>
                <w:bCs/>
                <w:sz w:val="16"/>
                <w:szCs w:val="16"/>
              </w:rPr>
            </w:pPr>
            <w:r w:rsidRPr="00C442DB">
              <w:rPr>
                <w:rFonts w:ascii="Calibri" w:hAnsi="Calibri"/>
                <w:b/>
                <w:bCs/>
                <w:sz w:val="16"/>
                <w:szCs w:val="16"/>
              </w:rPr>
              <w:t>7.719.400,00</w:t>
            </w:r>
          </w:p>
        </w:tc>
        <w:tc>
          <w:tcPr>
            <w:tcW w:w="878" w:type="dxa"/>
            <w:gridSpan w:val="2"/>
            <w:tcBorders>
              <w:top w:val="nil"/>
              <w:left w:val="nil"/>
              <w:bottom w:val="single" w:sz="4" w:space="0" w:color="auto"/>
              <w:right w:val="single" w:sz="4" w:space="0" w:color="auto"/>
            </w:tcBorders>
            <w:shd w:val="clear" w:color="000000" w:fill="C5D9F1"/>
            <w:noWrap/>
            <w:vAlign w:val="center"/>
            <w:hideMark/>
          </w:tcPr>
          <w:p w14:paraId="43650493"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gridSpan w:val="2"/>
            <w:tcBorders>
              <w:top w:val="nil"/>
              <w:left w:val="nil"/>
              <w:bottom w:val="single" w:sz="4" w:space="0" w:color="auto"/>
              <w:right w:val="single" w:sz="4" w:space="0" w:color="auto"/>
            </w:tcBorders>
            <w:shd w:val="clear" w:color="000000" w:fill="C5D9F1"/>
            <w:noWrap/>
            <w:vAlign w:val="center"/>
            <w:hideMark/>
          </w:tcPr>
          <w:p w14:paraId="156D595E"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842" w:type="dxa"/>
            <w:tcBorders>
              <w:top w:val="nil"/>
              <w:left w:val="nil"/>
              <w:bottom w:val="single" w:sz="4" w:space="0" w:color="auto"/>
              <w:right w:val="single" w:sz="4" w:space="0" w:color="auto"/>
            </w:tcBorders>
            <w:shd w:val="clear" w:color="000000" w:fill="C5D9F1"/>
            <w:noWrap/>
            <w:vAlign w:val="center"/>
            <w:hideMark/>
          </w:tcPr>
          <w:p w14:paraId="1F0A1616" w14:textId="77777777" w:rsidR="00C442DB" w:rsidRPr="00C442DB" w:rsidRDefault="00C442DB" w:rsidP="00C442DB">
            <w:pPr>
              <w:ind w:right="-108"/>
              <w:jc w:val="left"/>
              <w:rPr>
                <w:rFonts w:ascii="Calibri" w:hAnsi="Calibri"/>
                <w:b/>
                <w:bCs/>
                <w:sz w:val="16"/>
                <w:szCs w:val="16"/>
              </w:rPr>
            </w:pPr>
            <w:r w:rsidRPr="00C442DB">
              <w:rPr>
                <w:rFonts w:ascii="Calibri" w:hAnsi="Calibri"/>
                <w:b/>
                <w:bCs/>
                <w:sz w:val="16"/>
                <w:szCs w:val="16"/>
              </w:rPr>
              <w:t> </w:t>
            </w:r>
          </w:p>
        </w:tc>
      </w:tr>
      <w:tr w:rsidR="00C442DB" w:rsidRPr="00C442DB" w14:paraId="6B1523B3"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0B6790F7" w14:textId="77777777" w:rsidR="00C442DB" w:rsidRPr="00C442DB" w:rsidRDefault="00C442DB" w:rsidP="00C442DB">
            <w:pPr>
              <w:jc w:val="center"/>
              <w:rPr>
                <w:rFonts w:ascii="Calibri" w:hAnsi="Calibri"/>
                <w:sz w:val="16"/>
                <w:szCs w:val="16"/>
              </w:rPr>
            </w:pPr>
            <w:r w:rsidRPr="00C442DB">
              <w:rPr>
                <w:rFonts w:ascii="Calibri" w:hAnsi="Calibri"/>
                <w:sz w:val="16"/>
                <w:szCs w:val="16"/>
              </w:rPr>
              <w:t>9</w:t>
            </w:r>
          </w:p>
        </w:tc>
        <w:tc>
          <w:tcPr>
            <w:tcW w:w="993" w:type="dxa"/>
            <w:tcBorders>
              <w:top w:val="nil"/>
              <w:left w:val="nil"/>
              <w:bottom w:val="single" w:sz="4" w:space="0" w:color="auto"/>
              <w:right w:val="single" w:sz="4" w:space="0" w:color="auto"/>
            </w:tcBorders>
            <w:shd w:val="clear" w:color="auto" w:fill="auto"/>
            <w:noWrap/>
            <w:vAlign w:val="bottom"/>
            <w:hideMark/>
          </w:tcPr>
          <w:p w14:paraId="1F311D9D" w14:textId="77777777" w:rsidR="00C442DB" w:rsidRPr="00C442DB" w:rsidRDefault="00C442DB" w:rsidP="00C442DB">
            <w:pPr>
              <w:jc w:val="left"/>
              <w:rPr>
                <w:rFonts w:ascii="Calibri" w:hAnsi="Calibri"/>
                <w:sz w:val="16"/>
                <w:szCs w:val="16"/>
              </w:rPr>
            </w:pPr>
            <w:r w:rsidRPr="00C442DB">
              <w:rPr>
                <w:rFonts w:ascii="Calibri" w:hAnsi="Calibri"/>
                <w:sz w:val="16"/>
                <w:szCs w:val="16"/>
              </w:rPr>
              <w:t>SET-O-A Srbac</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3A49C742" w14:textId="77777777" w:rsidR="00C442DB" w:rsidRPr="00C442DB" w:rsidRDefault="00C442DB" w:rsidP="00C442DB">
            <w:pPr>
              <w:jc w:val="right"/>
              <w:rPr>
                <w:rFonts w:ascii="Calibri" w:hAnsi="Calibri"/>
                <w:sz w:val="16"/>
                <w:szCs w:val="16"/>
              </w:rPr>
            </w:pPr>
            <w:r w:rsidRPr="00C442DB">
              <w:rPr>
                <w:rFonts w:ascii="Calibri" w:hAnsi="Calibri"/>
                <w:sz w:val="16"/>
                <w:szCs w:val="16"/>
              </w:rPr>
              <w:t>3.500.000,00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3B6E03CC" w14:textId="77777777" w:rsidR="00C442DB" w:rsidRPr="00C442DB" w:rsidRDefault="00C442DB" w:rsidP="00C442DB">
            <w:pPr>
              <w:jc w:val="right"/>
              <w:rPr>
                <w:rFonts w:ascii="Calibri" w:hAnsi="Calibri"/>
                <w:sz w:val="16"/>
                <w:szCs w:val="16"/>
              </w:rPr>
            </w:pPr>
            <w:r w:rsidRPr="00C442DB">
              <w:rPr>
                <w:rFonts w:ascii="Calibri" w:hAnsi="Calibri"/>
                <w:sz w:val="16"/>
                <w:szCs w:val="16"/>
              </w:rPr>
              <w:t>3.000</w:t>
            </w:r>
          </w:p>
        </w:tc>
        <w:tc>
          <w:tcPr>
            <w:tcW w:w="996" w:type="dxa"/>
            <w:tcBorders>
              <w:top w:val="nil"/>
              <w:left w:val="nil"/>
              <w:bottom w:val="single" w:sz="4" w:space="0" w:color="auto"/>
              <w:right w:val="single" w:sz="4" w:space="0" w:color="auto"/>
            </w:tcBorders>
            <w:shd w:val="clear" w:color="auto" w:fill="auto"/>
            <w:noWrap/>
            <w:vAlign w:val="bottom"/>
            <w:hideMark/>
          </w:tcPr>
          <w:p w14:paraId="06947444" w14:textId="77777777" w:rsidR="00C442DB" w:rsidRPr="00C442DB" w:rsidRDefault="00C442DB" w:rsidP="00C442DB">
            <w:pPr>
              <w:jc w:val="right"/>
              <w:rPr>
                <w:rFonts w:ascii="Calibri" w:hAnsi="Calibri"/>
                <w:sz w:val="16"/>
                <w:szCs w:val="16"/>
              </w:rPr>
            </w:pPr>
            <w:r w:rsidRPr="00C442DB">
              <w:rPr>
                <w:rFonts w:ascii="Calibri" w:hAnsi="Calibri"/>
                <w:sz w:val="16"/>
                <w:szCs w:val="16"/>
              </w:rPr>
              <w:t>300.000,00</w:t>
            </w:r>
          </w:p>
        </w:tc>
        <w:tc>
          <w:tcPr>
            <w:tcW w:w="855" w:type="dxa"/>
            <w:tcBorders>
              <w:top w:val="nil"/>
              <w:left w:val="nil"/>
              <w:bottom w:val="single" w:sz="4" w:space="0" w:color="auto"/>
              <w:right w:val="single" w:sz="4" w:space="0" w:color="auto"/>
            </w:tcBorders>
            <w:shd w:val="clear" w:color="auto" w:fill="auto"/>
            <w:noWrap/>
            <w:vAlign w:val="bottom"/>
            <w:hideMark/>
          </w:tcPr>
          <w:p w14:paraId="083D0F4D" w14:textId="77777777" w:rsidR="00C442DB" w:rsidRPr="00C442DB" w:rsidRDefault="00C442DB" w:rsidP="00C442DB">
            <w:pPr>
              <w:jc w:val="right"/>
              <w:rPr>
                <w:rFonts w:ascii="Calibri" w:hAnsi="Calibri"/>
                <w:sz w:val="16"/>
                <w:szCs w:val="16"/>
              </w:rPr>
            </w:pPr>
            <w:r w:rsidRPr="00C442DB">
              <w:rPr>
                <w:rFonts w:ascii="Calibri" w:hAnsi="Calibri"/>
                <w:sz w:val="16"/>
                <w:szCs w:val="16"/>
              </w:rPr>
              <w:t>5,50%</w:t>
            </w:r>
          </w:p>
        </w:tc>
        <w:tc>
          <w:tcPr>
            <w:tcW w:w="995" w:type="dxa"/>
            <w:tcBorders>
              <w:top w:val="nil"/>
              <w:left w:val="nil"/>
              <w:bottom w:val="single" w:sz="4" w:space="0" w:color="auto"/>
              <w:right w:val="single" w:sz="4" w:space="0" w:color="auto"/>
            </w:tcBorders>
            <w:shd w:val="clear" w:color="auto" w:fill="auto"/>
            <w:noWrap/>
            <w:vAlign w:val="bottom"/>
            <w:hideMark/>
          </w:tcPr>
          <w:p w14:paraId="2980B219" w14:textId="77777777" w:rsidR="00C442DB" w:rsidRPr="00C442DB" w:rsidRDefault="00C442DB" w:rsidP="00C442DB">
            <w:pPr>
              <w:jc w:val="right"/>
              <w:rPr>
                <w:rFonts w:ascii="Calibri" w:hAnsi="Calibri"/>
                <w:sz w:val="16"/>
                <w:szCs w:val="16"/>
              </w:rPr>
            </w:pPr>
            <w:r w:rsidRPr="00C442DB">
              <w:rPr>
                <w:rFonts w:ascii="Calibri" w:hAnsi="Calibri"/>
                <w:sz w:val="16"/>
                <w:szCs w:val="16"/>
              </w:rPr>
              <w:t>252.347,35</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493D3A9B"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Kvartalno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4CFE17C3" w14:textId="77777777" w:rsidR="00C442DB" w:rsidRPr="00C442DB" w:rsidRDefault="00C442DB" w:rsidP="00C442DB">
            <w:pPr>
              <w:jc w:val="left"/>
              <w:rPr>
                <w:rFonts w:ascii="Calibri" w:hAnsi="Calibri"/>
                <w:sz w:val="16"/>
                <w:szCs w:val="16"/>
              </w:rPr>
            </w:pPr>
            <w:r w:rsidRPr="00C442DB">
              <w:rPr>
                <w:rFonts w:ascii="Calibri" w:hAnsi="Calibri"/>
                <w:sz w:val="16"/>
                <w:szCs w:val="16"/>
              </w:rPr>
              <w:t>19.12.2031.</w:t>
            </w:r>
          </w:p>
        </w:tc>
        <w:tc>
          <w:tcPr>
            <w:tcW w:w="842" w:type="dxa"/>
            <w:tcBorders>
              <w:top w:val="nil"/>
              <w:left w:val="nil"/>
              <w:bottom w:val="single" w:sz="4" w:space="0" w:color="auto"/>
              <w:right w:val="single" w:sz="4" w:space="0" w:color="auto"/>
            </w:tcBorders>
            <w:shd w:val="clear" w:color="auto" w:fill="auto"/>
            <w:noWrap/>
            <w:vAlign w:val="bottom"/>
            <w:hideMark/>
          </w:tcPr>
          <w:p w14:paraId="4AE26A4F"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19.09.2023</w:t>
            </w:r>
          </w:p>
        </w:tc>
      </w:tr>
      <w:tr w:rsidR="00C442DB" w:rsidRPr="00C442DB" w14:paraId="68E605A0"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2507836A" w14:textId="77777777" w:rsidR="00C442DB" w:rsidRPr="00C442DB" w:rsidRDefault="00C442DB" w:rsidP="00C442DB">
            <w:pPr>
              <w:jc w:val="center"/>
              <w:rPr>
                <w:rFonts w:ascii="Calibri" w:hAnsi="Calibri"/>
                <w:sz w:val="16"/>
                <w:szCs w:val="16"/>
              </w:rPr>
            </w:pPr>
            <w:r w:rsidRPr="00C442DB">
              <w:rPr>
                <w:rFonts w:ascii="Calibri" w:hAnsi="Calibri"/>
                <w:sz w:val="16"/>
                <w:szCs w:val="16"/>
              </w:rPr>
              <w:t>10</w:t>
            </w:r>
          </w:p>
        </w:tc>
        <w:tc>
          <w:tcPr>
            <w:tcW w:w="993" w:type="dxa"/>
            <w:tcBorders>
              <w:top w:val="nil"/>
              <w:left w:val="nil"/>
              <w:bottom w:val="single" w:sz="4" w:space="0" w:color="auto"/>
              <w:right w:val="single" w:sz="4" w:space="0" w:color="auto"/>
            </w:tcBorders>
            <w:shd w:val="clear" w:color="auto" w:fill="auto"/>
            <w:noWrap/>
            <w:vAlign w:val="bottom"/>
            <w:hideMark/>
          </w:tcPr>
          <w:p w14:paraId="2C4936E0"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RGBZ-O-A Rogatica </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0FCB0027" w14:textId="77777777" w:rsidR="00C442DB" w:rsidRPr="00C442DB" w:rsidRDefault="00C442DB" w:rsidP="00C442DB">
            <w:pPr>
              <w:jc w:val="right"/>
              <w:rPr>
                <w:rFonts w:ascii="Calibri" w:hAnsi="Calibri"/>
                <w:sz w:val="16"/>
                <w:szCs w:val="16"/>
              </w:rPr>
            </w:pPr>
            <w:r w:rsidRPr="00C442DB">
              <w:rPr>
                <w:rFonts w:ascii="Calibri" w:hAnsi="Calibri"/>
                <w:sz w:val="16"/>
                <w:szCs w:val="16"/>
              </w:rPr>
              <w:t>900.000,00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9D1844C" w14:textId="77777777" w:rsidR="00C442DB" w:rsidRPr="00C442DB" w:rsidRDefault="00C442DB" w:rsidP="00C442DB">
            <w:pPr>
              <w:jc w:val="right"/>
              <w:rPr>
                <w:rFonts w:ascii="Calibri" w:hAnsi="Calibri"/>
                <w:sz w:val="16"/>
                <w:szCs w:val="16"/>
              </w:rPr>
            </w:pPr>
            <w:r w:rsidRPr="00C442DB">
              <w:rPr>
                <w:rFonts w:ascii="Calibri" w:hAnsi="Calibri"/>
                <w:sz w:val="16"/>
                <w:szCs w:val="16"/>
              </w:rPr>
              <w:t>2.000</w:t>
            </w:r>
          </w:p>
        </w:tc>
        <w:tc>
          <w:tcPr>
            <w:tcW w:w="996" w:type="dxa"/>
            <w:tcBorders>
              <w:top w:val="nil"/>
              <w:left w:val="nil"/>
              <w:bottom w:val="single" w:sz="4" w:space="0" w:color="auto"/>
              <w:right w:val="single" w:sz="4" w:space="0" w:color="auto"/>
            </w:tcBorders>
            <w:shd w:val="clear" w:color="auto" w:fill="auto"/>
            <w:noWrap/>
            <w:vAlign w:val="bottom"/>
            <w:hideMark/>
          </w:tcPr>
          <w:p w14:paraId="75CD5749"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619A7923"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7E262A06" w14:textId="77777777" w:rsidR="00C442DB" w:rsidRPr="00C442DB" w:rsidRDefault="00C442DB" w:rsidP="00C442DB">
            <w:pPr>
              <w:jc w:val="right"/>
              <w:rPr>
                <w:rFonts w:ascii="Calibri" w:hAnsi="Calibri"/>
                <w:sz w:val="16"/>
                <w:szCs w:val="16"/>
              </w:rPr>
            </w:pPr>
            <w:r w:rsidRPr="00C442DB">
              <w:rPr>
                <w:rFonts w:ascii="Calibri" w:hAnsi="Calibri"/>
                <w:sz w:val="16"/>
                <w:szCs w:val="16"/>
              </w:rPr>
              <w:t>147.103,55</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1927211E"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Kvartalno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0D2E35F9" w14:textId="77777777" w:rsidR="00C442DB" w:rsidRPr="00C442DB" w:rsidRDefault="00C442DB" w:rsidP="00C442DB">
            <w:pPr>
              <w:jc w:val="left"/>
              <w:rPr>
                <w:rFonts w:ascii="Calibri" w:hAnsi="Calibri"/>
                <w:sz w:val="16"/>
                <w:szCs w:val="16"/>
              </w:rPr>
            </w:pPr>
            <w:r w:rsidRPr="00C442DB">
              <w:rPr>
                <w:rFonts w:ascii="Calibri" w:hAnsi="Calibri"/>
                <w:sz w:val="16"/>
                <w:szCs w:val="16"/>
              </w:rPr>
              <w:t>15.02.2028.</w:t>
            </w:r>
          </w:p>
        </w:tc>
        <w:tc>
          <w:tcPr>
            <w:tcW w:w="842" w:type="dxa"/>
            <w:tcBorders>
              <w:top w:val="nil"/>
              <w:left w:val="nil"/>
              <w:bottom w:val="single" w:sz="4" w:space="0" w:color="auto"/>
              <w:right w:val="single" w:sz="4" w:space="0" w:color="auto"/>
            </w:tcBorders>
            <w:shd w:val="clear" w:color="auto" w:fill="auto"/>
            <w:noWrap/>
            <w:vAlign w:val="bottom"/>
            <w:hideMark/>
          </w:tcPr>
          <w:p w14:paraId="40D93C2B" w14:textId="77777777" w:rsidR="00C442DB" w:rsidRPr="00C442DB" w:rsidRDefault="00C442DB" w:rsidP="00C442DB">
            <w:pPr>
              <w:ind w:right="-108"/>
              <w:jc w:val="center"/>
              <w:rPr>
                <w:rFonts w:ascii="Calibri" w:hAnsi="Calibri"/>
                <w:sz w:val="16"/>
                <w:szCs w:val="16"/>
              </w:rPr>
            </w:pPr>
            <w:r w:rsidRPr="00C442DB">
              <w:rPr>
                <w:rFonts w:ascii="Calibri" w:hAnsi="Calibri"/>
                <w:sz w:val="16"/>
                <w:szCs w:val="16"/>
              </w:rPr>
              <w:t>15.08.2023</w:t>
            </w:r>
          </w:p>
        </w:tc>
      </w:tr>
      <w:tr w:rsidR="00C442DB" w:rsidRPr="00C442DB" w14:paraId="5426400D"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5B72BA51" w14:textId="77777777" w:rsidR="00C442DB" w:rsidRPr="00C442DB" w:rsidRDefault="00C442DB" w:rsidP="00C442DB">
            <w:pPr>
              <w:jc w:val="center"/>
              <w:rPr>
                <w:rFonts w:ascii="Calibri" w:hAnsi="Calibri"/>
                <w:sz w:val="16"/>
                <w:szCs w:val="16"/>
              </w:rPr>
            </w:pPr>
            <w:r w:rsidRPr="00C442DB">
              <w:rPr>
                <w:rFonts w:ascii="Calibri" w:hAnsi="Calibri"/>
                <w:sz w:val="16"/>
                <w:szCs w:val="16"/>
              </w:rPr>
              <w:t>11</w:t>
            </w:r>
          </w:p>
        </w:tc>
        <w:tc>
          <w:tcPr>
            <w:tcW w:w="993" w:type="dxa"/>
            <w:tcBorders>
              <w:top w:val="nil"/>
              <w:left w:val="nil"/>
              <w:bottom w:val="single" w:sz="4" w:space="0" w:color="auto"/>
              <w:right w:val="single" w:sz="4" w:space="0" w:color="auto"/>
            </w:tcBorders>
            <w:shd w:val="clear" w:color="auto" w:fill="auto"/>
            <w:noWrap/>
            <w:vAlign w:val="bottom"/>
            <w:hideMark/>
          </w:tcPr>
          <w:p w14:paraId="5B62A48B"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BLKI-O-B Banja Luka </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724F50A5" w14:textId="77777777" w:rsidR="00C442DB" w:rsidRPr="00C442DB" w:rsidRDefault="00C442DB" w:rsidP="00C442DB">
            <w:pPr>
              <w:jc w:val="right"/>
              <w:rPr>
                <w:rFonts w:ascii="Calibri" w:hAnsi="Calibri"/>
                <w:sz w:val="16"/>
                <w:szCs w:val="16"/>
              </w:rPr>
            </w:pPr>
            <w:r w:rsidRPr="00C442DB">
              <w:rPr>
                <w:rFonts w:ascii="Calibri" w:hAnsi="Calibri"/>
                <w:sz w:val="16"/>
                <w:szCs w:val="16"/>
              </w:rPr>
              <w:t>6.000.000,00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67D5B636" w14:textId="77777777" w:rsidR="00C442DB" w:rsidRPr="00C442DB" w:rsidRDefault="00C442DB" w:rsidP="00C442DB">
            <w:pPr>
              <w:jc w:val="right"/>
              <w:rPr>
                <w:rFonts w:ascii="Calibri" w:hAnsi="Calibri"/>
                <w:sz w:val="16"/>
                <w:szCs w:val="16"/>
              </w:rPr>
            </w:pPr>
            <w:r w:rsidRPr="00C442DB">
              <w:rPr>
                <w:rFonts w:ascii="Calibri" w:hAnsi="Calibri"/>
                <w:sz w:val="16"/>
                <w:szCs w:val="16"/>
              </w:rPr>
              <w:t>2.845</w:t>
            </w:r>
          </w:p>
        </w:tc>
        <w:tc>
          <w:tcPr>
            <w:tcW w:w="996" w:type="dxa"/>
            <w:tcBorders>
              <w:top w:val="nil"/>
              <w:left w:val="nil"/>
              <w:bottom w:val="single" w:sz="4" w:space="0" w:color="auto"/>
              <w:right w:val="single" w:sz="4" w:space="0" w:color="auto"/>
            </w:tcBorders>
            <w:shd w:val="clear" w:color="auto" w:fill="auto"/>
            <w:noWrap/>
            <w:vAlign w:val="bottom"/>
            <w:hideMark/>
          </w:tcPr>
          <w:p w14:paraId="0CBC2198" w14:textId="77777777" w:rsidR="00C442DB" w:rsidRPr="00C442DB" w:rsidRDefault="00C442DB" w:rsidP="00C442DB">
            <w:pPr>
              <w:jc w:val="right"/>
              <w:rPr>
                <w:rFonts w:ascii="Calibri" w:hAnsi="Calibri"/>
                <w:sz w:val="16"/>
                <w:szCs w:val="16"/>
              </w:rPr>
            </w:pPr>
            <w:r w:rsidRPr="00C442DB">
              <w:rPr>
                <w:rFonts w:ascii="Calibri" w:hAnsi="Calibri"/>
                <w:sz w:val="16"/>
                <w:szCs w:val="16"/>
              </w:rPr>
              <w:t>295.880,00</w:t>
            </w:r>
          </w:p>
        </w:tc>
        <w:tc>
          <w:tcPr>
            <w:tcW w:w="855" w:type="dxa"/>
            <w:tcBorders>
              <w:top w:val="nil"/>
              <w:left w:val="nil"/>
              <w:bottom w:val="single" w:sz="4" w:space="0" w:color="auto"/>
              <w:right w:val="single" w:sz="4" w:space="0" w:color="auto"/>
            </w:tcBorders>
            <w:shd w:val="clear" w:color="auto" w:fill="auto"/>
            <w:noWrap/>
            <w:vAlign w:val="bottom"/>
            <w:hideMark/>
          </w:tcPr>
          <w:p w14:paraId="28616DE1"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3CC12A47" w14:textId="77777777" w:rsidR="00C442DB" w:rsidRPr="00C442DB" w:rsidRDefault="00C442DB" w:rsidP="00C442DB">
            <w:pPr>
              <w:jc w:val="right"/>
              <w:rPr>
                <w:rFonts w:ascii="Calibri" w:hAnsi="Calibri"/>
                <w:sz w:val="16"/>
                <w:szCs w:val="16"/>
              </w:rPr>
            </w:pPr>
            <w:r w:rsidRPr="00C442DB">
              <w:rPr>
                <w:rFonts w:ascii="Calibri" w:hAnsi="Calibri"/>
                <w:sz w:val="16"/>
                <w:szCs w:val="16"/>
              </w:rPr>
              <w:t>80.015,66</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597FC1F4"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Polugodišnje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15409784" w14:textId="77777777" w:rsidR="00C442DB" w:rsidRPr="00C442DB" w:rsidRDefault="00C442DB" w:rsidP="00C442DB">
            <w:pPr>
              <w:jc w:val="left"/>
              <w:rPr>
                <w:rFonts w:ascii="Calibri" w:hAnsi="Calibri"/>
                <w:sz w:val="16"/>
                <w:szCs w:val="16"/>
              </w:rPr>
            </w:pPr>
            <w:r w:rsidRPr="00C442DB">
              <w:rPr>
                <w:rFonts w:ascii="Calibri" w:hAnsi="Calibri"/>
                <w:sz w:val="16"/>
                <w:szCs w:val="16"/>
              </w:rPr>
              <w:t>26.04.2025.</w:t>
            </w:r>
          </w:p>
        </w:tc>
        <w:tc>
          <w:tcPr>
            <w:tcW w:w="842" w:type="dxa"/>
            <w:tcBorders>
              <w:top w:val="nil"/>
              <w:left w:val="nil"/>
              <w:bottom w:val="single" w:sz="4" w:space="0" w:color="auto"/>
              <w:right w:val="single" w:sz="4" w:space="0" w:color="auto"/>
            </w:tcBorders>
            <w:shd w:val="clear" w:color="auto" w:fill="auto"/>
            <w:noWrap/>
            <w:vAlign w:val="bottom"/>
            <w:hideMark/>
          </w:tcPr>
          <w:p w14:paraId="6A016FAD"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26.10.2023</w:t>
            </w:r>
          </w:p>
        </w:tc>
      </w:tr>
      <w:tr w:rsidR="00C442DB" w:rsidRPr="00C442DB" w14:paraId="6398C20A"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5A740465" w14:textId="77777777" w:rsidR="00C442DB" w:rsidRPr="00C442DB" w:rsidRDefault="00C442DB" w:rsidP="00C442DB">
            <w:pPr>
              <w:jc w:val="center"/>
              <w:rPr>
                <w:rFonts w:ascii="Calibri" w:hAnsi="Calibri"/>
                <w:sz w:val="16"/>
                <w:szCs w:val="16"/>
              </w:rPr>
            </w:pPr>
            <w:r w:rsidRPr="00C442DB">
              <w:rPr>
                <w:rFonts w:ascii="Calibri" w:hAnsi="Calibri"/>
                <w:sz w:val="16"/>
                <w:szCs w:val="16"/>
              </w:rPr>
              <w:t>12</w:t>
            </w:r>
          </w:p>
        </w:tc>
        <w:tc>
          <w:tcPr>
            <w:tcW w:w="993" w:type="dxa"/>
            <w:tcBorders>
              <w:top w:val="nil"/>
              <w:left w:val="nil"/>
              <w:bottom w:val="single" w:sz="4" w:space="0" w:color="auto"/>
              <w:right w:val="single" w:sz="4" w:space="0" w:color="auto"/>
            </w:tcBorders>
            <w:shd w:val="clear" w:color="auto" w:fill="auto"/>
            <w:noWrap/>
            <w:vAlign w:val="bottom"/>
            <w:hideMark/>
          </w:tcPr>
          <w:p w14:paraId="2FD97015" w14:textId="77777777" w:rsidR="00C442DB" w:rsidRPr="00C442DB" w:rsidRDefault="00C442DB" w:rsidP="00C442DB">
            <w:pPr>
              <w:jc w:val="left"/>
              <w:rPr>
                <w:rFonts w:ascii="Calibri" w:hAnsi="Calibri"/>
                <w:sz w:val="16"/>
                <w:szCs w:val="16"/>
              </w:rPr>
            </w:pPr>
            <w:r w:rsidRPr="00C442DB">
              <w:rPr>
                <w:rFonts w:ascii="Calibri" w:hAnsi="Calibri"/>
                <w:sz w:val="16"/>
                <w:szCs w:val="16"/>
              </w:rPr>
              <w:t>OKRZ-O-A Kotor Varoš</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43ADA3DB" w14:textId="77777777" w:rsidR="00C442DB" w:rsidRPr="00C442DB" w:rsidRDefault="00C442DB" w:rsidP="00C442DB">
            <w:pPr>
              <w:jc w:val="right"/>
              <w:rPr>
                <w:rFonts w:ascii="Calibri" w:hAnsi="Calibri"/>
                <w:sz w:val="16"/>
                <w:szCs w:val="16"/>
              </w:rPr>
            </w:pPr>
            <w:r w:rsidRPr="00C442DB">
              <w:rPr>
                <w:rFonts w:ascii="Calibri" w:hAnsi="Calibri"/>
                <w:sz w:val="16"/>
                <w:szCs w:val="16"/>
              </w:rPr>
              <w:t>5.000.000,00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7773D44F" w14:textId="77777777" w:rsidR="00C442DB" w:rsidRPr="00C442DB" w:rsidRDefault="00C442DB" w:rsidP="00C442DB">
            <w:pPr>
              <w:jc w:val="right"/>
              <w:rPr>
                <w:rFonts w:ascii="Calibri" w:hAnsi="Calibri"/>
                <w:sz w:val="16"/>
                <w:szCs w:val="16"/>
              </w:rPr>
            </w:pPr>
            <w:r w:rsidRPr="00C442DB">
              <w:rPr>
                <w:rFonts w:ascii="Calibri" w:hAnsi="Calibri"/>
                <w:sz w:val="16"/>
                <w:szCs w:val="16"/>
              </w:rPr>
              <w:t>2.923</w:t>
            </w:r>
          </w:p>
        </w:tc>
        <w:tc>
          <w:tcPr>
            <w:tcW w:w="996" w:type="dxa"/>
            <w:tcBorders>
              <w:top w:val="nil"/>
              <w:left w:val="nil"/>
              <w:bottom w:val="single" w:sz="4" w:space="0" w:color="auto"/>
              <w:right w:val="single" w:sz="4" w:space="0" w:color="auto"/>
            </w:tcBorders>
            <w:shd w:val="clear" w:color="auto" w:fill="auto"/>
            <w:noWrap/>
            <w:vAlign w:val="bottom"/>
            <w:hideMark/>
          </w:tcPr>
          <w:p w14:paraId="31A4CD0A" w14:textId="77777777" w:rsidR="00C442DB" w:rsidRPr="00C442DB" w:rsidRDefault="00C442DB" w:rsidP="00C442DB">
            <w:pPr>
              <w:jc w:val="right"/>
              <w:rPr>
                <w:rFonts w:ascii="Calibri" w:hAnsi="Calibri"/>
                <w:sz w:val="16"/>
                <w:szCs w:val="16"/>
              </w:rPr>
            </w:pPr>
            <w:r w:rsidRPr="00C442DB">
              <w:rPr>
                <w:rFonts w:ascii="Calibri" w:hAnsi="Calibri"/>
                <w:sz w:val="16"/>
                <w:szCs w:val="16"/>
              </w:rPr>
              <w:t>292.329,23</w:t>
            </w:r>
          </w:p>
        </w:tc>
        <w:tc>
          <w:tcPr>
            <w:tcW w:w="855" w:type="dxa"/>
            <w:tcBorders>
              <w:top w:val="nil"/>
              <w:left w:val="nil"/>
              <w:bottom w:val="single" w:sz="4" w:space="0" w:color="auto"/>
              <w:right w:val="single" w:sz="4" w:space="0" w:color="auto"/>
            </w:tcBorders>
            <w:shd w:val="clear" w:color="auto" w:fill="auto"/>
            <w:noWrap/>
            <w:vAlign w:val="bottom"/>
            <w:hideMark/>
          </w:tcPr>
          <w:p w14:paraId="1A5AD9AB" w14:textId="77777777" w:rsidR="00C442DB" w:rsidRPr="00C442DB" w:rsidRDefault="00C442DB" w:rsidP="00C442DB">
            <w:pPr>
              <w:jc w:val="right"/>
              <w:rPr>
                <w:rFonts w:ascii="Calibri" w:hAnsi="Calibri"/>
                <w:sz w:val="16"/>
                <w:szCs w:val="16"/>
              </w:rPr>
            </w:pPr>
            <w:r w:rsidRPr="00C442DB">
              <w:rPr>
                <w:rFonts w:ascii="Calibri" w:hAnsi="Calibri"/>
                <w:sz w:val="16"/>
                <w:szCs w:val="16"/>
              </w:rPr>
              <w:t>4,40%</w:t>
            </w:r>
          </w:p>
        </w:tc>
        <w:tc>
          <w:tcPr>
            <w:tcW w:w="995" w:type="dxa"/>
            <w:tcBorders>
              <w:top w:val="nil"/>
              <w:left w:val="nil"/>
              <w:bottom w:val="single" w:sz="4" w:space="0" w:color="auto"/>
              <w:right w:val="single" w:sz="4" w:space="0" w:color="auto"/>
            </w:tcBorders>
            <w:shd w:val="clear" w:color="auto" w:fill="auto"/>
            <w:noWrap/>
            <w:vAlign w:val="bottom"/>
            <w:hideMark/>
          </w:tcPr>
          <w:p w14:paraId="2A5D3137" w14:textId="77777777" w:rsidR="00C442DB" w:rsidRPr="00C442DB" w:rsidRDefault="00C442DB" w:rsidP="00C442DB">
            <w:pPr>
              <w:jc w:val="right"/>
              <w:rPr>
                <w:rFonts w:ascii="Calibri" w:hAnsi="Calibri"/>
                <w:sz w:val="16"/>
                <w:szCs w:val="16"/>
              </w:rPr>
            </w:pPr>
            <w:r w:rsidRPr="00C442DB">
              <w:rPr>
                <w:rFonts w:ascii="Calibri" w:hAnsi="Calibri"/>
                <w:sz w:val="16"/>
                <w:szCs w:val="16"/>
              </w:rPr>
              <w:t>217.690,35</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5435D861"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Polugodišnje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30BAF36E" w14:textId="77777777" w:rsidR="00C442DB" w:rsidRPr="00C442DB" w:rsidRDefault="00C442DB" w:rsidP="00C442DB">
            <w:pPr>
              <w:jc w:val="left"/>
              <w:rPr>
                <w:rFonts w:ascii="Calibri" w:hAnsi="Calibri"/>
                <w:sz w:val="16"/>
                <w:szCs w:val="16"/>
              </w:rPr>
            </w:pPr>
            <w:r w:rsidRPr="00C442DB">
              <w:rPr>
                <w:rFonts w:ascii="Calibri" w:hAnsi="Calibri"/>
                <w:sz w:val="16"/>
                <w:szCs w:val="16"/>
              </w:rPr>
              <w:t>05.10.2028.</w:t>
            </w:r>
          </w:p>
        </w:tc>
        <w:tc>
          <w:tcPr>
            <w:tcW w:w="842" w:type="dxa"/>
            <w:tcBorders>
              <w:top w:val="nil"/>
              <w:left w:val="nil"/>
              <w:bottom w:val="single" w:sz="4" w:space="0" w:color="auto"/>
              <w:right w:val="single" w:sz="4" w:space="0" w:color="auto"/>
            </w:tcBorders>
            <w:shd w:val="clear" w:color="auto" w:fill="auto"/>
            <w:noWrap/>
            <w:vAlign w:val="bottom"/>
            <w:hideMark/>
          </w:tcPr>
          <w:p w14:paraId="0F1995E9"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05.10.2023</w:t>
            </w:r>
          </w:p>
        </w:tc>
      </w:tr>
      <w:tr w:rsidR="00C442DB" w:rsidRPr="00C442DB" w14:paraId="121AF335"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7658F4E3" w14:textId="77777777" w:rsidR="00C442DB" w:rsidRPr="00C442DB" w:rsidRDefault="00C442DB" w:rsidP="00C442DB">
            <w:pPr>
              <w:jc w:val="center"/>
              <w:rPr>
                <w:rFonts w:ascii="Calibri" w:hAnsi="Calibri"/>
                <w:sz w:val="16"/>
                <w:szCs w:val="16"/>
              </w:rPr>
            </w:pPr>
            <w:r w:rsidRPr="00C442DB">
              <w:rPr>
                <w:rFonts w:ascii="Calibri" w:hAnsi="Calibri"/>
                <w:sz w:val="16"/>
                <w:szCs w:val="16"/>
              </w:rPr>
              <w:t>13</w:t>
            </w:r>
          </w:p>
        </w:tc>
        <w:tc>
          <w:tcPr>
            <w:tcW w:w="993" w:type="dxa"/>
            <w:tcBorders>
              <w:top w:val="nil"/>
              <w:left w:val="nil"/>
              <w:bottom w:val="single" w:sz="4" w:space="0" w:color="auto"/>
              <w:right w:val="single" w:sz="4" w:space="0" w:color="auto"/>
            </w:tcBorders>
            <w:shd w:val="clear" w:color="auto" w:fill="auto"/>
            <w:noWrap/>
            <w:vAlign w:val="bottom"/>
            <w:hideMark/>
          </w:tcPr>
          <w:p w14:paraId="4DB7A0F3" w14:textId="77777777" w:rsidR="00C442DB" w:rsidRPr="00C442DB" w:rsidRDefault="00C442DB" w:rsidP="00C442DB">
            <w:pPr>
              <w:jc w:val="left"/>
              <w:rPr>
                <w:rFonts w:ascii="Calibri" w:hAnsi="Calibri"/>
                <w:sz w:val="16"/>
                <w:szCs w:val="16"/>
              </w:rPr>
            </w:pPr>
            <w:r w:rsidRPr="00C442DB">
              <w:rPr>
                <w:rFonts w:ascii="Calibri" w:hAnsi="Calibri"/>
                <w:sz w:val="16"/>
                <w:szCs w:val="16"/>
              </w:rPr>
              <w:t>SLRF -O-A Sokolac</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18A6671E" w14:textId="77777777" w:rsidR="00C442DB" w:rsidRPr="00C442DB" w:rsidRDefault="00C442DB" w:rsidP="00C442DB">
            <w:pPr>
              <w:jc w:val="right"/>
              <w:rPr>
                <w:rFonts w:ascii="Calibri" w:hAnsi="Calibri"/>
                <w:sz w:val="16"/>
                <w:szCs w:val="16"/>
              </w:rPr>
            </w:pPr>
            <w:r w:rsidRPr="00C442DB">
              <w:rPr>
                <w:rFonts w:ascii="Calibri" w:hAnsi="Calibri"/>
                <w:sz w:val="16"/>
                <w:szCs w:val="16"/>
              </w:rPr>
              <w:t>5.500.000,00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42CE9F66" w14:textId="77777777" w:rsidR="00C442DB" w:rsidRPr="00C442DB" w:rsidRDefault="00C442DB" w:rsidP="00C442DB">
            <w:pPr>
              <w:jc w:val="right"/>
              <w:rPr>
                <w:rFonts w:ascii="Calibri" w:hAnsi="Calibri"/>
                <w:sz w:val="16"/>
                <w:szCs w:val="16"/>
              </w:rPr>
            </w:pPr>
            <w:r w:rsidRPr="00C442DB">
              <w:rPr>
                <w:rFonts w:ascii="Calibri" w:hAnsi="Calibri"/>
                <w:sz w:val="16"/>
                <w:szCs w:val="16"/>
              </w:rPr>
              <w:t>3.000</w:t>
            </w:r>
          </w:p>
        </w:tc>
        <w:tc>
          <w:tcPr>
            <w:tcW w:w="996" w:type="dxa"/>
            <w:tcBorders>
              <w:top w:val="nil"/>
              <w:left w:val="nil"/>
              <w:bottom w:val="single" w:sz="4" w:space="0" w:color="auto"/>
              <w:right w:val="single" w:sz="4" w:space="0" w:color="auto"/>
            </w:tcBorders>
            <w:shd w:val="clear" w:color="auto" w:fill="auto"/>
            <w:noWrap/>
            <w:vAlign w:val="bottom"/>
            <w:hideMark/>
          </w:tcPr>
          <w:p w14:paraId="0BC5DA0F" w14:textId="77777777" w:rsidR="00C442DB" w:rsidRPr="00C442DB" w:rsidRDefault="00C442DB" w:rsidP="00C442DB">
            <w:pPr>
              <w:jc w:val="right"/>
              <w:rPr>
                <w:rFonts w:ascii="Calibri" w:hAnsi="Calibri"/>
                <w:sz w:val="16"/>
                <w:szCs w:val="16"/>
              </w:rPr>
            </w:pPr>
            <w:r w:rsidRPr="00C442DB">
              <w:rPr>
                <w:rFonts w:ascii="Calibri" w:hAnsi="Calibri"/>
                <w:sz w:val="16"/>
                <w:szCs w:val="16"/>
              </w:rPr>
              <w:t>300.000,00</w:t>
            </w:r>
          </w:p>
        </w:tc>
        <w:tc>
          <w:tcPr>
            <w:tcW w:w="855" w:type="dxa"/>
            <w:tcBorders>
              <w:top w:val="nil"/>
              <w:left w:val="nil"/>
              <w:bottom w:val="single" w:sz="4" w:space="0" w:color="auto"/>
              <w:right w:val="single" w:sz="4" w:space="0" w:color="auto"/>
            </w:tcBorders>
            <w:shd w:val="clear" w:color="auto" w:fill="auto"/>
            <w:noWrap/>
            <w:vAlign w:val="bottom"/>
            <w:hideMark/>
          </w:tcPr>
          <w:p w14:paraId="404B284C" w14:textId="77777777" w:rsidR="00C442DB" w:rsidRPr="00C442DB" w:rsidRDefault="00C442DB" w:rsidP="00C442DB">
            <w:pPr>
              <w:jc w:val="right"/>
              <w:rPr>
                <w:rFonts w:ascii="Calibri" w:hAnsi="Calibri"/>
                <w:sz w:val="16"/>
                <w:szCs w:val="16"/>
              </w:rPr>
            </w:pPr>
            <w:r w:rsidRPr="00C442DB">
              <w:rPr>
                <w:rFonts w:ascii="Calibri" w:hAnsi="Calibri"/>
                <w:sz w:val="16"/>
                <w:szCs w:val="16"/>
              </w:rPr>
              <w:t>4,50%</w:t>
            </w:r>
          </w:p>
        </w:tc>
        <w:tc>
          <w:tcPr>
            <w:tcW w:w="995" w:type="dxa"/>
            <w:tcBorders>
              <w:top w:val="nil"/>
              <w:left w:val="nil"/>
              <w:bottom w:val="single" w:sz="4" w:space="0" w:color="auto"/>
              <w:right w:val="single" w:sz="4" w:space="0" w:color="auto"/>
            </w:tcBorders>
            <w:shd w:val="clear" w:color="auto" w:fill="auto"/>
            <w:noWrap/>
            <w:vAlign w:val="bottom"/>
            <w:hideMark/>
          </w:tcPr>
          <w:p w14:paraId="1E55C3F4" w14:textId="77777777" w:rsidR="00C442DB" w:rsidRPr="00C442DB" w:rsidRDefault="00C442DB" w:rsidP="00C442DB">
            <w:pPr>
              <w:jc w:val="right"/>
              <w:rPr>
                <w:rFonts w:ascii="Calibri" w:hAnsi="Calibri"/>
                <w:sz w:val="16"/>
                <w:szCs w:val="16"/>
              </w:rPr>
            </w:pPr>
            <w:r w:rsidRPr="00C442DB">
              <w:rPr>
                <w:rFonts w:ascii="Calibri" w:hAnsi="Calibri"/>
                <w:sz w:val="16"/>
                <w:szCs w:val="16"/>
              </w:rPr>
              <w:t>263.950,37</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5B4B2109"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6C3F355A" w14:textId="77777777" w:rsidR="00C442DB" w:rsidRPr="00C442DB" w:rsidRDefault="00C442DB" w:rsidP="00C442DB">
            <w:pPr>
              <w:jc w:val="left"/>
              <w:rPr>
                <w:rFonts w:ascii="Calibri" w:hAnsi="Calibri"/>
                <w:sz w:val="16"/>
                <w:szCs w:val="16"/>
              </w:rPr>
            </w:pPr>
            <w:r w:rsidRPr="00C442DB">
              <w:rPr>
                <w:rFonts w:ascii="Calibri" w:hAnsi="Calibri"/>
                <w:sz w:val="16"/>
                <w:szCs w:val="16"/>
              </w:rPr>
              <w:t>25.02.2034.</w:t>
            </w:r>
          </w:p>
        </w:tc>
        <w:tc>
          <w:tcPr>
            <w:tcW w:w="842" w:type="dxa"/>
            <w:tcBorders>
              <w:top w:val="nil"/>
              <w:left w:val="nil"/>
              <w:bottom w:val="single" w:sz="4" w:space="0" w:color="auto"/>
              <w:right w:val="single" w:sz="4" w:space="0" w:color="auto"/>
            </w:tcBorders>
            <w:shd w:val="clear" w:color="auto" w:fill="auto"/>
            <w:noWrap/>
            <w:vAlign w:val="bottom"/>
            <w:hideMark/>
          </w:tcPr>
          <w:p w14:paraId="4FEEAACA"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25.07.2023</w:t>
            </w:r>
          </w:p>
        </w:tc>
      </w:tr>
      <w:tr w:rsidR="00C442DB" w:rsidRPr="00C442DB" w14:paraId="4D5B47BC"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2EF0FA58" w14:textId="77777777" w:rsidR="00C442DB" w:rsidRPr="00C442DB" w:rsidRDefault="00C442DB" w:rsidP="00C442DB">
            <w:pPr>
              <w:jc w:val="center"/>
              <w:rPr>
                <w:rFonts w:ascii="Calibri" w:hAnsi="Calibri"/>
                <w:sz w:val="16"/>
                <w:szCs w:val="16"/>
              </w:rPr>
            </w:pPr>
            <w:r w:rsidRPr="00C442DB">
              <w:rPr>
                <w:rFonts w:ascii="Calibri" w:hAnsi="Calibri"/>
                <w:sz w:val="16"/>
                <w:szCs w:val="16"/>
              </w:rPr>
              <w:t>14</w:t>
            </w:r>
          </w:p>
        </w:tc>
        <w:tc>
          <w:tcPr>
            <w:tcW w:w="993" w:type="dxa"/>
            <w:tcBorders>
              <w:top w:val="nil"/>
              <w:left w:val="nil"/>
              <w:bottom w:val="single" w:sz="4" w:space="0" w:color="auto"/>
              <w:right w:val="single" w:sz="4" w:space="0" w:color="auto"/>
            </w:tcBorders>
            <w:shd w:val="clear" w:color="auto" w:fill="auto"/>
            <w:noWrap/>
            <w:vAlign w:val="bottom"/>
            <w:hideMark/>
          </w:tcPr>
          <w:p w14:paraId="6DC0BD62" w14:textId="77777777" w:rsidR="00C442DB" w:rsidRPr="00C442DB" w:rsidRDefault="00C442DB" w:rsidP="00C442DB">
            <w:pPr>
              <w:jc w:val="left"/>
              <w:rPr>
                <w:rFonts w:ascii="Calibri" w:hAnsi="Calibri"/>
                <w:sz w:val="16"/>
                <w:szCs w:val="16"/>
              </w:rPr>
            </w:pPr>
            <w:r w:rsidRPr="00C442DB">
              <w:rPr>
                <w:rFonts w:ascii="Calibri" w:hAnsi="Calibri"/>
                <w:sz w:val="16"/>
                <w:szCs w:val="16"/>
              </w:rPr>
              <w:t>OSVL-O-A Vlasenica</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162E5A61" w14:textId="77777777" w:rsidR="00C442DB" w:rsidRPr="00C442DB" w:rsidRDefault="00C442DB" w:rsidP="00C442DB">
            <w:pPr>
              <w:jc w:val="right"/>
              <w:rPr>
                <w:rFonts w:ascii="Calibri" w:hAnsi="Calibri"/>
                <w:sz w:val="16"/>
                <w:szCs w:val="16"/>
              </w:rPr>
            </w:pPr>
            <w:r w:rsidRPr="00C442DB">
              <w:rPr>
                <w:rFonts w:ascii="Calibri" w:hAnsi="Calibri"/>
                <w:sz w:val="16"/>
                <w:szCs w:val="16"/>
              </w:rPr>
              <w:t>1.800.000,00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0B4E05CC" w14:textId="77777777" w:rsidR="00C442DB" w:rsidRPr="00C442DB" w:rsidRDefault="00C442DB" w:rsidP="00C442DB">
            <w:pPr>
              <w:jc w:val="right"/>
              <w:rPr>
                <w:rFonts w:ascii="Calibri" w:hAnsi="Calibri"/>
                <w:sz w:val="16"/>
                <w:szCs w:val="16"/>
              </w:rPr>
            </w:pPr>
            <w:r w:rsidRPr="00C442DB">
              <w:rPr>
                <w:rFonts w:ascii="Calibri" w:hAnsi="Calibri"/>
                <w:sz w:val="16"/>
                <w:szCs w:val="16"/>
              </w:rPr>
              <w:t>18.000</w:t>
            </w:r>
          </w:p>
        </w:tc>
        <w:tc>
          <w:tcPr>
            <w:tcW w:w="996" w:type="dxa"/>
            <w:tcBorders>
              <w:top w:val="nil"/>
              <w:left w:val="nil"/>
              <w:bottom w:val="single" w:sz="4" w:space="0" w:color="auto"/>
              <w:right w:val="single" w:sz="4" w:space="0" w:color="auto"/>
            </w:tcBorders>
            <w:shd w:val="clear" w:color="auto" w:fill="auto"/>
            <w:noWrap/>
            <w:vAlign w:val="bottom"/>
            <w:hideMark/>
          </w:tcPr>
          <w:p w14:paraId="4B410C52"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19827BE2" w14:textId="77777777" w:rsidR="00C442DB" w:rsidRPr="00C442DB" w:rsidRDefault="00C442DB" w:rsidP="00C442DB">
            <w:pPr>
              <w:jc w:val="right"/>
              <w:rPr>
                <w:rFonts w:ascii="Calibri" w:hAnsi="Calibri"/>
                <w:sz w:val="16"/>
                <w:szCs w:val="16"/>
              </w:rPr>
            </w:pPr>
            <w:r w:rsidRPr="00C442DB">
              <w:rPr>
                <w:rFonts w:ascii="Calibri" w:hAnsi="Calibri"/>
                <w:sz w:val="16"/>
                <w:szCs w:val="16"/>
              </w:rPr>
              <w:t>4,00%</w:t>
            </w:r>
          </w:p>
        </w:tc>
        <w:tc>
          <w:tcPr>
            <w:tcW w:w="995" w:type="dxa"/>
            <w:tcBorders>
              <w:top w:val="nil"/>
              <w:left w:val="nil"/>
              <w:bottom w:val="single" w:sz="4" w:space="0" w:color="auto"/>
              <w:right w:val="single" w:sz="4" w:space="0" w:color="auto"/>
            </w:tcBorders>
            <w:shd w:val="clear" w:color="auto" w:fill="auto"/>
            <w:noWrap/>
            <w:vAlign w:val="bottom"/>
            <w:hideMark/>
          </w:tcPr>
          <w:p w14:paraId="3DD75BA0" w14:textId="77777777" w:rsidR="00C442DB" w:rsidRPr="00C442DB" w:rsidRDefault="00C442DB" w:rsidP="00C442DB">
            <w:pPr>
              <w:jc w:val="right"/>
              <w:rPr>
                <w:rFonts w:ascii="Calibri" w:hAnsi="Calibri"/>
                <w:sz w:val="16"/>
                <w:szCs w:val="16"/>
              </w:rPr>
            </w:pPr>
            <w:r w:rsidRPr="00C442DB">
              <w:rPr>
                <w:rFonts w:ascii="Calibri" w:hAnsi="Calibri"/>
                <w:sz w:val="16"/>
                <w:szCs w:val="16"/>
              </w:rPr>
              <w:t>151.121,64</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9E2F0C1"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623AD79B" w14:textId="77777777" w:rsidR="00C442DB" w:rsidRPr="00C442DB" w:rsidRDefault="00C442DB" w:rsidP="00C442DB">
            <w:pPr>
              <w:jc w:val="left"/>
              <w:rPr>
                <w:rFonts w:ascii="Calibri" w:hAnsi="Calibri"/>
                <w:sz w:val="16"/>
                <w:szCs w:val="16"/>
              </w:rPr>
            </w:pPr>
            <w:r w:rsidRPr="00C442DB">
              <w:rPr>
                <w:rFonts w:ascii="Calibri" w:hAnsi="Calibri"/>
                <w:sz w:val="16"/>
                <w:szCs w:val="16"/>
              </w:rPr>
              <w:t>09.10.2031.</w:t>
            </w:r>
          </w:p>
        </w:tc>
        <w:tc>
          <w:tcPr>
            <w:tcW w:w="842" w:type="dxa"/>
            <w:tcBorders>
              <w:top w:val="nil"/>
              <w:left w:val="nil"/>
              <w:bottom w:val="single" w:sz="4" w:space="0" w:color="auto"/>
              <w:right w:val="single" w:sz="4" w:space="0" w:color="auto"/>
            </w:tcBorders>
            <w:shd w:val="clear" w:color="auto" w:fill="auto"/>
            <w:noWrap/>
            <w:vAlign w:val="bottom"/>
            <w:hideMark/>
          </w:tcPr>
          <w:p w14:paraId="066E37B1"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09.08.2023</w:t>
            </w:r>
          </w:p>
        </w:tc>
      </w:tr>
      <w:tr w:rsidR="00C442DB" w:rsidRPr="00C442DB" w14:paraId="05EAB697"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41DBC73F" w14:textId="77777777" w:rsidR="00C442DB" w:rsidRPr="00C442DB" w:rsidRDefault="00C442DB" w:rsidP="00C442DB">
            <w:pPr>
              <w:jc w:val="center"/>
              <w:rPr>
                <w:rFonts w:ascii="Calibri" w:hAnsi="Calibri"/>
                <w:sz w:val="16"/>
                <w:szCs w:val="16"/>
              </w:rPr>
            </w:pPr>
            <w:r w:rsidRPr="00C442DB">
              <w:rPr>
                <w:rFonts w:ascii="Calibri" w:hAnsi="Calibri"/>
                <w:sz w:val="16"/>
                <w:szCs w:val="16"/>
              </w:rPr>
              <w:t>15</w:t>
            </w:r>
          </w:p>
        </w:tc>
        <w:tc>
          <w:tcPr>
            <w:tcW w:w="993" w:type="dxa"/>
            <w:tcBorders>
              <w:top w:val="nil"/>
              <w:left w:val="nil"/>
              <w:bottom w:val="single" w:sz="4" w:space="0" w:color="auto"/>
              <w:right w:val="single" w:sz="4" w:space="0" w:color="auto"/>
            </w:tcBorders>
            <w:shd w:val="clear" w:color="auto" w:fill="auto"/>
            <w:noWrap/>
            <w:vAlign w:val="bottom"/>
            <w:hideMark/>
          </w:tcPr>
          <w:p w14:paraId="27778E76"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OSKI -O-A Opština  Srbac</w:t>
            </w:r>
          </w:p>
        </w:tc>
        <w:tc>
          <w:tcPr>
            <w:tcW w:w="1122" w:type="dxa"/>
            <w:gridSpan w:val="3"/>
            <w:tcBorders>
              <w:top w:val="nil"/>
              <w:left w:val="nil"/>
              <w:bottom w:val="single" w:sz="4" w:space="0" w:color="auto"/>
              <w:right w:val="single" w:sz="4" w:space="0" w:color="auto"/>
            </w:tcBorders>
            <w:shd w:val="clear" w:color="auto" w:fill="auto"/>
            <w:noWrap/>
            <w:vAlign w:val="bottom"/>
            <w:hideMark/>
          </w:tcPr>
          <w:p w14:paraId="30A0FECA"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1.200.000,00</w:t>
            </w:r>
          </w:p>
        </w:tc>
        <w:tc>
          <w:tcPr>
            <w:tcW w:w="895" w:type="dxa"/>
            <w:gridSpan w:val="2"/>
            <w:tcBorders>
              <w:top w:val="nil"/>
              <w:left w:val="nil"/>
              <w:bottom w:val="single" w:sz="4" w:space="0" w:color="auto"/>
              <w:right w:val="single" w:sz="4" w:space="0" w:color="auto"/>
            </w:tcBorders>
            <w:shd w:val="clear" w:color="000000" w:fill="FFFFFF"/>
            <w:noWrap/>
            <w:vAlign w:val="bottom"/>
            <w:hideMark/>
          </w:tcPr>
          <w:p w14:paraId="2B5B4E85"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12.000</w:t>
            </w:r>
          </w:p>
        </w:tc>
        <w:tc>
          <w:tcPr>
            <w:tcW w:w="996" w:type="dxa"/>
            <w:tcBorders>
              <w:top w:val="nil"/>
              <w:left w:val="nil"/>
              <w:bottom w:val="single" w:sz="4" w:space="0" w:color="auto"/>
              <w:right w:val="single" w:sz="4" w:space="0" w:color="auto"/>
            </w:tcBorders>
            <w:shd w:val="clear" w:color="auto" w:fill="auto"/>
            <w:noWrap/>
            <w:vAlign w:val="bottom"/>
            <w:hideMark/>
          </w:tcPr>
          <w:p w14:paraId="68E01490"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300.000,00</w:t>
            </w:r>
          </w:p>
        </w:tc>
        <w:tc>
          <w:tcPr>
            <w:tcW w:w="855" w:type="dxa"/>
            <w:tcBorders>
              <w:top w:val="nil"/>
              <w:left w:val="nil"/>
              <w:bottom w:val="single" w:sz="4" w:space="0" w:color="auto"/>
              <w:right w:val="single" w:sz="4" w:space="0" w:color="auto"/>
            </w:tcBorders>
            <w:shd w:val="clear" w:color="auto" w:fill="auto"/>
            <w:noWrap/>
            <w:vAlign w:val="bottom"/>
            <w:hideMark/>
          </w:tcPr>
          <w:p w14:paraId="7781C6C1"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4,00%</w:t>
            </w:r>
          </w:p>
        </w:tc>
        <w:tc>
          <w:tcPr>
            <w:tcW w:w="995" w:type="dxa"/>
            <w:tcBorders>
              <w:top w:val="nil"/>
              <w:left w:val="nil"/>
              <w:bottom w:val="single" w:sz="4" w:space="0" w:color="auto"/>
              <w:right w:val="single" w:sz="4" w:space="0" w:color="auto"/>
            </w:tcBorders>
            <w:shd w:val="clear" w:color="auto" w:fill="auto"/>
            <w:noWrap/>
            <w:vAlign w:val="bottom"/>
            <w:hideMark/>
          </w:tcPr>
          <w:p w14:paraId="48B2D046" w14:textId="77777777" w:rsidR="00C442DB" w:rsidRPr="00C442DB" w:rsidRDefault="00C442DB" w:rsidP="00C442DB">
            <w:pPr>
              <w:jc w:val="right"/>
              <w:rPr>
                <w:rFonts w:ascii="Calibri" w:hAnsi="Calibri"/>
                <w:color w:val="auto"/>
                <w:sz w:val="16"/>
                <w:szCs w:val="16"/>
              </w:rPr>
            </w:pPr>
            <w:r w:rsidRPr="00C442DB">
              <w:rPr>
                <w:rFonts w:ascii="Calibri" w:hAnsi="Calibri"/>
                <w:color w:val="auto"/>
                <w:sz w:val="16"/>
                <w:szCs w:val="16"/>
              </w:rPr>
              <w:t>300.000,00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EECF881"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 xml:space="preserve">Kvartalno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340635FF" w14:textId="77777777" w:rsidR="00C442DB" w:rsidRPr="00C442DB" w:rsidRDefault="00C442DB" w:rsidP="00C442DB">
            <w:pPr>
              <w:jc w:val="left"/>
              <w:rPr>
                <w:rFonts w:ascii="Calibri" w:hAnsi="Calibri"/>
                <w:color w:val="auto"/>
                <w:sz w:val="16"/>
                <w:szCs w:val="16"/>
              </w:rPr>
            </w:pPr>
            <w:r w:rsidRPr="00C442DB">
              <w:rPr>
                <w:rFonts w:ascii="Calibri" w:hAnsi="Calibri"/>
                <w:color w:val="auto"/>
                <w:sz w:val="16"/>
                <w:szCs w:val="16"/>
              </w:rPr>
              <w:t>08.06.2033.</w:t>
            </w:r>
          </w:p>
        </w:tc>
        <w:tc>
          <w:tcPr>
            <w:tcW w:w="842" w:type="dxa"/>
            <w:tcBorders>
              <w:top w:val="nil"/>
              <w:left w:val="nil"/>
              <w:bottom w:val="single" w:sz="4" w:space="0" w:color="auto"/>
              <w:right w:val="single" w:sz="4" w:space="0" w:color="auto"/>
            </w:tcBorders>
            <w:shd w:val="clear" w:color="auto" w:fill="auto"/>
            <w:noWrap/>
            <w:vAlign w:val="bottom"/>
            <w:hideMark/>
          </w:tcPr>
          <w:p w14:paraId="6D5235E6" w14:textId="77777777" w:rsidR="00C442DB" w:rsidRPr="00C442DB" w:rsidRDefault="00C442DB" w:rsidP="00C442DB">
            <w:pPr>
              <w:ind w:right="-108"/>
              <w:jc w:val="center"/>
              <w:rPr>
                <w:rFonts w:ascii="Calibri" w:hAnsi="Calibri"/>
                <w:color w:val="auto"/>
                <w:sz w:val="16"/>
                <w:szCs w:val="16"/>
                <w:lang w:val="sr-Cyrl-RS"/>
              </w:rPr>
            </w:pPr>
            <w:r>
              <w:rPr>
                <w:rFonts w:ascii="Calibri" w:hAnsi="Calibri"/>
                <w:color w:val="auto"/>
                <w:sz w:val="16"/>
                <w:szCs w:val="16"/>
              </w:rPr>
              <w:t>08.06.2025</w:t>
            </w:r>
          </w:p>
        </w:tc>
      </w:tr>
      <w:tr w:rsidR="00C442DB" w:rsidRPr="00C442DB" w14:paraId="26C30934" w14:textId="77777777" w:rsidTr="002A24EC">
        <w:trPr>
          <w:trHeight w:val="315"/>
        </w:trPr>
        <w:tc>
          <w:tcPr>
            <w:tcW w:w="545" w:type="dxa"/>
            <w:tcBorders>
              <w:top w:val="nil"/>
              <w:left w:val="single" w:sz="4" w:space="0" w:color="auto"/>
              <w:bottom w:val="nil"/>
              <w:right w:val="single" w:sz="4" w:space="0" w:color="auto"/>
            </w:tcBorders>
            <w:shd w:val="clear" w:color="auto" w:fill="auto"/>
            <w:noWrap/>
            <w:vAlign w:val="center"/>
            <w:hideMark/>
          </w:tcPr>
          <w:p w14:paraId="186B600D" w14:textId="77777777" w:rsidR="00C442DB" w:rsidRPr="00C442DB" w:rsidRDefault="00C442DB" w:rsidP="00C442DB">
            <w:pPr>
              <w:jc w:val="center"/>
              <w:rPr>
                <w:rFonts w:ascii="Calibri" w:hAnsi="Calibri"/>
                <w:sz w:val="16"/>
                <w:szCs w:val="16"/>
              </w:rPr>
            </w:pPr>
            <w:r w:rsidRPr="00C442DB">
              <w:rPr>
                <w:rFonts w:ascii="Calibri" w:hAnsi="Calibri"/>
                <w:sz w:val="16"/>
                <w:szCs w:val="16"/>
              </w:rPr>
              <w:t>16</w:t>
            </w:r>
          </w:p>
        </w:tc>
        <w:tc>
          <w:tcPr>
            <w:tcW w:w="993" w:type="dxa"/>
            <w:tcBorders>
              <w:top w:val="nil"/>
              <w:left w:val="nil"/>
              <w:bottom w:val="nil"/>
              <w:right w:val="single" w:sz="4" w:space="0" w:color="auto"/>
            </w:tcBorders>
            <w:shd w:val="clear" w:color="auto" w:fill="auto"/>
            <w:noWrap/>
            <w:vAlign w:val="bottom"/>
            <w:hideMark/>
          </w:tcPr>
          <w:p w14:paraId="6A50981B" w14:textId="77777777" w:rsidR="00C442DB" w:rsidRPr="00C442DB" w:rsidRDefault="00C442DB" w:rsidP="00C442DB">
            <w:pPr>
              <w:jc w:val="left"/>
              <w:rPr>
                <w:rFonts w:ascii="Calibri" w:hAnsi="Calibri"/>
                <w:sz w:val="16"/>
                <w:szCs w:val="16"/>
              </w:rPr>
            </w:pPr>
            <w:r w:rsidRPr="00C442DB">
              <w:rPr>
                <w:rFonts w:ascii="Calibri" w:hAnsi="Calibri"/>
                <w:sz w:val="16"/>
                <w:szCs w:val="16"/>
              </w:rPr>
              <w:t>GRPD-O-A Grad Prijedor</w:t>
            </w:r>
          </w:p>
        </w:tc>
        <w:tc>
          <w:tcPr>
            <w:tcW w:w="1122" w:type="dxa"/>
            <w:gridSpan w:val="3"/>
            <w:tcBorders>
              <w:top w:val="nil"/>
              <w:left w:val="nil"/>
              <w:bottom w:val="nil"/>
              <w:right w:val="single" w:sz="4" w:space="0" w:color="auto"/>
            </w:tcBorders>
            <w:shd w:val="clear" w:color="auto" w:fill="auto"/>
            <w:noWrap/>
            <w:vAlign w:val="bottom"/>
            <w:hideMark/>
          </w:tcPr>
          <w:p w14:paraId="30E8254B" w14:textId="77777777" w:rsidR="00C442DB" w:rsidRPr="00C442DB" w:rsidRDefault="00C442DB" w:rsidP="00C442DB">
            <w:pPr>
              <w:jc w:val="right"/>
              <w:rPr>
                <w:rFonts w:ascii="Calibri" w:hAnsi="Calibri"/>
                <w:sz w:val="16"/>
                <w:szCs w:val="16"/>
              </w:rPr>
            </w:pPr>
            <w:r w:rsidRPr="00C442DB">
              <w:rPr>
                <w:rFonts w:ascii="Calibri" w:hAnsi="Calibri"/>
                <w:sz w:val="16"/>
                <w:szCs w:val="16"/>
              </w:rPr>
              <w:t>5.500.000,00</w:t>
            </w:r>
          </w:p>
        </w:tc>
        <w:tc>
          <w:tcPr>
            <w:tcW w:w="895" w:type="dxa"/>
            <w:gridSpan w:val="2"/>
            <w:tcBorders>
              <w:top w:val="nil"/>
              <w:left w:val="nil"/>
              <w:bottom w:val="nil"/>
              <w:right w:val="single" w:sz="4" w:space="0" w:color="auto"/>
            </w:tcBorders>
            <w:shd w:val="clear" w:color="000000" w:fill="FFFFFF"/>
            <w:noWrap/>
            <w:vAlign w:val="bottom"/>
            <w:hideMark/>
          </w:tcPr>
          <w:p w14:paraId="54EB6DC9" w14:textId="77777777" w:rsidR="00C442DB" w:rsidRPr="00C442DB" w:rsidRDefault="00C442DB" w:rsidP="00C442DB">
            <w:pPr>
              <w:jc w:val="right"/>
              <w:rPr>
                <w:rFonts w:ascii="Calibri" w:hAnsi="Calibri"/>
                <w:sz w:val="16"/>
                <w:szCs w:val="16"/>
              </w:rPr>
            </w:pPr>
            <w:r w:rsidRPr="00C442DB">
              <w:rPr>
                <w:rFonts w:ascii="Calibri" w:hAnsi="Calibri"/>
                <w:sz w:val="16"/>
                <w:szCs w:val="16"/>
              </w:rPr>
              <w:t>3.000</w:t>
            </w:r>
          </w:p>
        </w:tc>
        <w:tc>
          <w:tcPr>
            <w:tcW w:w="996" w:type="dxa"/>
            <w:tcBorders>
              <w:top w:val="nil"/>
              <w:left w:val="nil"/>
              <w:bottom w:val="nil"/>
              <w:right w:val="single" w:sz="4" w:space="0" w:color="auto"/>
            </w:tcBorders>
            <w:shd w:val="clear" w:color="auto" w:fill="auto"/>
            <w:noWrap/>
            <w:vAlign w:val="bottom"/>
            <w:hideMark/>
          </w:tcPr>
          <w:p w14:paraId="66DF930E" w14:textId="77777777" w:rsidR="00C442DB" w:rsidRPr="00C442DB" w:rsidRDefault="00C442DB" w:rsidP="00C442DB">
            <w:pPr>
              <w:jc w:val="right"/>
              <w:rPr>
                <w:rFonts w:ascii="Calibri" w:hAnsi="Calibri"/>
                <w:sz w:val="16"/>
                <w:szCs w:val="16"/>
              </w:rPr>
            </w:pPr>
            <w:r w:rsidRPr="00C442DB">
              <w:rPr>
                <w:rFonts w:ascii="Calibri" w:hAnsi="Calibri"/>
                <w:sz w:val="16"/>
                <w:szCs w:val="16"/>
              </w:rPr>
              <w:t>300.000,00</w:t>
            </w:r>
          </w:p>
        </w:tc>
        <w:tc>
          <w:tcPr>
            <w:tcW w:w="855" w:type="dxa"/>
            <w:tcBorders>
              <w:top w:val="nil"/>
              <w:left w:val="nil"/>
              <w:bottom w:val="nil"/>
              <w:right w:val="nil"/>
            </w:tcBorders>
            <w:shd w:val="clear" w:color="auto" w:fill="auto"/>
            <w:noWrap/>
            <w:vAlign w:val="bottom"/>
            <w:hideMark/>
          </w:tcPr>
          <w:p w14:paraId="2A197487" w14:textId="77777777" w:rsidR="00C442DB" w:rsidRPr="00C442DB" w:rsidRDefault="00C442DB" w:rsidP="00C442DB">
            <w:pPr>
              <w:jc w:val="right"/>
              <w:rPr>
                <w:rFonts w:ascii="Calibri" w:hAnsi="Calibri"/>
                <w:sz w:val="16"/>
                <w:szCs w:val="16"/>
              </w:rPr>
            </w:pPr>
            <w:r w:rsidRPr="00C442DB">
              <w:rPr>
                <w:rFonts w:ascii="Calibri" w:hAnsi="Calibri"/>
                <w:sz w:val="16"/>
                <w:szCs w:val="16"/>
              </w:rPr>
              <w:t>5,00%</w:t>
            </w:r>
          </w:p>
        </w:tc>
        <w:tc>
          <w:tcPr>
            <w:tcW w:w="995" w:type="dxa"/>
            <w:tcBorders>
              <w:top w:val="nil"/>
              <w:left w:val="single" w:sz="4" w:space="0" w:color="auto"/>
              <w:bottom w:val="nil"/>
              <w:right w:val="single" w:sz="4" w:space="0" w:color="auto"/>
            </w:tcBorders>
            <w:shd w:val="clear" w:color="auto" w:fill="auto"/>
            <w:noWrap/>
            <w:vAlign w:val="bottom"/>
            <w:hideMark/>
          </w:tcPr>
          <w:p w14:paraId="2D981CDC" w14:textId="77777777" w:rsidR="00C442DB" w:rsidRPr="00C442DB" w:rsidRDefault="00C442DB" w:rsidP="00C442DB">
            <w:pPr>
              <w:jc w:val="right"/>
              <w:rPr>
                <w:rFonts w:ascii="Calibri" w:hAnsi="Calibri"/>
                <w:sz w:val="16"/>
                <w:szCs w:val="16"/>
              </w:rPr>
            </w:pPr>
            <w:r w:rsidRPr="00C442DB">
              <w:rPr>
                <w:rFonts w:ascii="Calibri" w:hAnsi="Calibri"/>
                <w:sz w:val="16"/>
                <w:szCs w:val="16"/>
              </w:rPr>
              <w:t>280.314,04</w:t>
            </w:r>
          </w:p>
        </w:tc>
        <w:tc>
          <w:tcPr>
            <w:tcW w:w="878" w:type="dxa"/>
            <w:gridSpan w:val="2"/>
            <w:tcBorders>
              <w:top w:val="nil"/>
              <w:left w:val="nil"/>
              <w:bottom w:val="nil"/>
              <w:right w:val="single" w:sz="4" w:space="0" w:color="auto"/>
            </w:tcBorders>
            <w:shd w:val="clear" w:color="auto" w:fill="auto"/>
            <w:noWrap/>
            <w:vAlign w:val="bottom"/>
            <w:hideMark/>
          </w:tcPr>
          <w:p w14:paraId="3F97F824"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nil"/>
              <w:right w:val="single" w:sz="4" w:space="0" w:color="auto"/>
            </w:tcBorders>
            <w:shd w:val="clear" w:color="000000" w:fill="FFFFFF"/>
            <w:noWrap/>
            <w:vAlign w:val="bottom"/>
            <w:hideMark/>
          </w:tcPr>
          <w:p w14:paraId="44175D36" w14:textId="77777777" w:rsidR="00C442DB" w:rsidRPr="00C442DB" w:rsidRDefault="00C442DB" w:rsidP="00C442DB">
            <w:pPr>
              <w:jc w:val="left"/>
              <w:rPr>
                <w:rFonts w:ascii="Calibri" w:hAnsi="Calibri"/>
                <w:sz w:val="16"/>
                <w:szCs w:val="16"/>
              </w:rPr>
            </w:pPr>
            <w:r w:rsidRPr="00C442DB">
              <w:rPr>
                <w:rFonts w:ascii="Calibri" w:hAnsi="Calibri"/>
                <w:sz w:val="16"/>
                <w:szCs w:val="16"/>
              </w:rPr>
              <w:t>01.02.2033.</w:t>
            </w:r>
          </w:p>
        </w:tc>
        <w:tc>
          <w:tcPr>
            <w:tcW w:w="842" w:type="dxa"/>
            <w:tcBorders>
              <w:top w:val="nil"/>
              <w:left w:val="nil"/>
              <w:bottom w:val="single" w:sz="4" w:space="0" w:color="auto"/>
              <w:right w:val="single" w:sz="4" w:space="0" w:color="auto"/>
            </w:tcBorders>
            <w:shd w:val="clear" w:color="auto" w:fill="auto"/>
            <w:noWrap/>
            <w:vAlign w:val="bottom"/>
            <w:hideMark/>
          </w:tcPr>
          <w:p w14:paraId="4F5FBC2E" w14:textId="77777777" w:rsidR="00C442DB" w:rsidRPr="00C442DB" w:rsidRDefault="00C442DB" w:rsidP="00C442DB">
            <w:pPr>
              <w:ind w:right="-108"/>
              <w:jc w:val="center"/>
              <w:rPr>
                <w:rFonts w:ascii="Calibri" w:hAnsi="Calibri"/>
                <w:sz w:val="16"/>
                <w:szCs w:val="16"/>
                <w:lang w:val="sr-Cyrl-RS"/>
              </w:rPr>
            </w:pPr>
            <w:r>
              <w:rPr>
                <w:rFonts w:ascii="Calibri" w:hAnsi="Calibri"/>
                <w:sz w:val="16"/>
                <w:szCs w:val="16"/>
              </w:rPr>
              <w:t>01.08.2023</w:t>
            </w:r>
          </w:p>
        </w:tc>
      </w:tr>
      <w:tr w:rsidR="00C442DB" w:rsidRPr="00C442DB" w14:paraId="5D519139" w14:textId="77777777" w:rsidTr="002A24EC">
        <w:trPr>
          <w:trHeight w:val="315"/>
        </w:trPr>
        <w:tc>
          <w:tcPr>
            <w:tcW w:w="3555" w:type="dxa"/>
            <w:gridSpan w:val="7"/>
            <w:tcBorders>
              <w:top w:val="single" w:sz="4" w:space="0" w:color="auto"/>
              <w:left w:val="single" w:sz="4" w:space="0" w:color="auto"/>
              <w:bottom w:val="single" w:sz="4" w:space="0" w:color="auto"/>
              <w:right w:val="single" w:sz="4" w:space="0" w:color="000000"/>
            </w:tcBorders>
            <w:shd w:val="clear" w:color="000000" w:fill="C5D9F1"/>
            <w:vAlign w:val="center"/>
            <w:hideMark/>
          </w:tcPr>
          <w:p w14:paraId="2344D739"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UKUPNO HOV LOKALNIH ZAJEDNICA (8)</w:t>
            </w:r>
          </w:p>
        </w:tc>
        <w:tc>
          <w:tcPr>
            <w:tcW w:w="996" w:type="dxa"/>
            <w:tcBorders>
              <w:top w:val="single" w:sz="4" w:space="0" w:color="auto"/>
              <w:left w:val="nil"/>
              <w:bottom w:val="single" w:sz="4" w:space="0" w:color="auto"/>
              <w:right w:val="single" w:sz="4" w:space="0" w:color="auto"/>
            </w:tcBorders>
            <w:shd w:val="clear" w:color="000000" w:fill="C5D9F1"/>
            <w:noWrap/>
            <w:vAlign w:val="center"/>
            <w:hideMark/>
          </w:tcPr>
          <w:p w14:paraId="23017C8D" w14:textId="77777777" w:rsidR="00C442DB" w:rsidRPr="00C442DB" w:rsidRDefault="00C442DB" w:rsidP="00C442DB">
            <w:pPr>
              <w:ind w:right="-108"/>
              <w:jc w:val="right"/>
              <w:rPr>
                <w:rFonts w:ascii="Calibri" w:hAnsi="Calibri"/>
                <w:b/>
                <w:bCs/>
                <w:sz w:val="16"/>
                <w:szCs w:val="16"/>
              </w:rPr>
            </w:pPr>
            <w:r w:rsidRPr="00C442DB">
              <w:rPr>
                <w:rFonts w:ascii="Calibri" w:hAnsi="Calibri"/>
                <w:b/>
                <w:bCs/>
                <w:sz w:val="16"/>
                <w:szCs w:val="16"/>
              </w:rPr>
              <w:t>2.188.209,23</w:t>
            </w:r>
          </w:p>
        </w:tc>
        <w:tc>
          <w:tcPr>
            <w:tcW w:w="2704" w:type="dxa"/>
            <w:gridSpan w:val="3"/>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0B13F4B5"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1.692.542,96</w:t>
            </w:r>
          </w:p>
        </w:tc>
        <w:tc>
          <w:tcPr>
            <w:tcW w:w="1861" w:type="dxa"/>
            <w:gridSpan w:val="4"/>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179F822C" w14:textId="77777777" w:rsidR="00C442DB" w:rsidRPr="00C442DB" w:rsidRDefault="00C442DB" w:rsidP="00C442DB">
            <w:pPr>
              <w:ind w:right="-108"/>
              <w:jc w:val="right"/>
              <w:rPr>
                <w:rFonts w:ascii="Calibri" w:hAnsi="Calibri"/>
                <w:b/>
                <w:bCs/>
                <w:sz w:val="16"/>
                <w:szCs w:val="16"/>
              </w:rPr>
            </w:pPr>
          </w:p>
        </w:tc>
      </w:tr>
      <w:tr w:rsidR="00C442DB" w:rsidRPr="00C442DB" w14:paraId="34C19E38"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1D3D1D3D" w14:textId="77777777" w:rsidR="00C442DB" w:rsidRPr="00C442DB" w:rsidRDefault="00C442DB" w:rsidP="00C442DB">
            <w:pPr>
              <w:jc w:val="center"/>
              <w:rPr>
                <w:rFonts w:ascii="Calibri" w:hAnsi="Calibri"/>
                <w:sz w:val="16"/>
                <w:szCs w:val="16"/>
              </w:rPr>
            </w:pPr>
            <w:r w:rsidRPr="00C442DB">
              <w:rPr>
                <w:rFonts w:ascii="Calibri" w:hAnsi="Calibri"/>
                <w:sz w:val="16"/>
                <w:szCs w:val="16"/>
              </w:rPr>
              <w:t>17</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4C97655B" w14:textId="77777777" w:rsidR="00C442DB" w:rsidRPr="00C442DB" w:rsidRDefault="00C442DB" w:rsidP="00C442DB">
            <w:pPr>
              <w:jc w:val="left"/>
              <w:rPr>
                <w:rFonts w:ascii="Calibri" w:hAnsi="Calibri"/>
                <w:sz w:val="16"/>
                <w:szCs w:val="16"/>
              </w:rPr>
            </w:pPr>
            <w:r w:rsidRPr="00C442DB">
              <w:rPr>
                <w:rFonts w:ascii="Calibri" w:hAnsi="Calibri"/>
                <w:sz w:val="16"/>
                <w:szCs w:val="16"/>
              </w:rPr>
              <w:t>NOVB-O-G Nova banka</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671836BD" w14:textId="77777777" w:rsidR="00C442DB" w:rsidRPr="00C442DB" w:rsidRDefault="00C442DB" w:rsidP="00AF0599">
            <w:pPr>
              <w:ind w:right="-157"/>
              <w:rPr>
                <w:rFonts w:ascii="Calibri" w:hAnsi="Calibri"/>
                <w:sz w:val="16"/>
                <w:szCs w:val="16"/>
              </w:rPr>
            </w:pPr>
            <w:r w:rsidRPr="00C442DB">
              <w:rPr>
                <w:rFonts w:ascii="Calibri" w:hAnsi="Calibri"/>
                <w:sz w:val="16"/>
                <w:szCs w:val="16"/>
              </w:rPr>
              <w:t>37.600.000,00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26F8D2F8" w14:textId="77777777" w:rsidR="00C442DB" w:rsidRPr="00C442DB" w:rsidRDefault="00C442DB" w:rsidP="00C442DB">
            <w:pPr>
              <w:jc w:val="right"/>
              <w:rPr>
                <w:rFonts w:ascii="Calibri" w:hAnsi="Calibri"/>
                <w:sz w:val="16"/>
                <w:szCs w:val="16"/>
              </w:rPr>
            </w:pPr>
            <w:r w:rsidRPr="00C442DB">
              <w:rPr>
                <w:rFonts w:ascii="Calibri" w:hAnsi="Calibri"/>
                <w:sz w:val="16"/>
                <w:szCs w:val="16"/>
              </w:rPr>
              <w:t>6.000</w:t>
            </w:r>
          </w:p>
        </w:tc>
        <w:tc>
          <w:tcPr>
            <w:tcW w:w="996" w:type="dxa"/>
            <w:tcBorders>
              <w:top w:val="nil"/>
              <w:left w:val="nil"/>
              <w:bottom w:val="single" w:sz="4" w:space="0" w:color="auto"/>
              <w:right w:val="single" w:sz="4" w:space="0" w:color="auto"/>
            </w:tcBorders>
            <w:shd w:val="clear" w:color="auto" w:fill="auto"/>
            <w:noWrap/>
            <w:vAlign w:val="bottom"/>
            <w:hideMark/>
          </w:tcPr>
          <w:p w14:paraId="32C2338F" w14:textId="77777777" w:rsidR="00C442DB" w:rsidRPr="00C442DB" w:rsidRDefault="00C442DB" w:rsidP="00C442DB">
            <w:pPr>
              <w:jc w:val="right"/>
              <w:rPr>
                <w:rFonts w:ascii="Calibri" w:hAnsi="Calibri"/>
                <w:sz w:val="16"/>
                <w:szCs w:val="16"/>
              </w:rPr>
            </w:pPr>
            <w:r w:rsidRPr="00C442DB">
              <w:rPr>
                <w:rFonts w:ascii="Calibri" w:hAnsi="Calibri"/>
                <w:sz w:val="16"/>
                <w:szCs w:val="16"/>
              </w:rPr>
              <w:t>600.000,00</w:t>
            </w:r>
          </w:p>
        </w:tc>
        <w:tc>
          <w:tcPr>
            <w:tcW w:w="855" w:type="dxa"/>
            <w:tcBorders>
              <w:top w:val="nil"/>
              <w:left w:val="nil"/>
              <w:bottom w:val="single" w:sz="4" w:space="0" w:color="auto"/>
              <w:right w:val="single" w:sz="4" w:space="0" w:color="auto"/>
            </w:tcBorders>
            <w:shd w:val="clear" w:color="auto" w:fill="auto"/>
            <w:noWrap/>
            <w:vAlign w:val="bottom"/>
            <w:hideMark/>
          </w:tcPr>
          <w:p w14:paraId="5F40C904" w14:textId="77777777" w:rsidR="00C442DB" w:rsidRPr="00C442DB" w:rsidRDefault="00C442DB" w:rsidP="00C442DB">
            <w:pPr>
              <w:jc w:val="right"/>
              <w:rPr>
                <w:rFonts w:ascii="Calibri" w:hAnsi="Calibri"/>
                <w:sz w:val="16"/>
                <w:szCs w:val="16"/>
              </w:rPr>
            </w:pPr>
            <w:r w:rsidRPr="00C442DB">
              <w:rPr>
                <w:rFonts w:ascii="Calibri" w:hAnsi="Calibri"/>
                <w:sz w:val="16"/>
                <w:szCs w:val="16"/>
              </w:rPr>
              <w:t>3,00%</w:t>
            </w:r>
          </w:p>
        </w:tc>
        <w:tc>
          <w:tcPr>
            <w:tcW w:w="995" w:type="dxa"/>
            <w:tcBorders>
              <w:top w:val="nil"/>
              <w:left w:val="nil"/>
              <w:bottom w:val="single" w:sz="4" w:space="0" w:color="auto"/>
              <w:right w:val="single" w:sz="4" w:space="0" w:color="auto"/>
            </w:tcBorders>
            <w:shd w:val="clear" w:color="auto" w:fill="auto"/>
            <w:noWrap/>
            <w:vAlign w:val="bottom"/>
            <w:hideMark/>
          </w:tcPr>
          <w:p w14:paraId="536C9703" w14:textId="77777777" w:rsidR="00C442DB" w:rsidRPr="00C442DB" w:rsidRDefault="00C442DB" w:rsidP="00C442DB">
            <w:pPr>
              <w:jc w:val="right"/>
              <w:rPr>
                <w:rFonts w:ascii="Calibri" w:hAnsi="Calibri"/>
                <w:sz w:val="16"/>
                <w:szCs w:val="16"/>
              </w:rPr>
            </w:pPr>
            <w:r w:rsidRPr="00C442DB">
              <w:rPr>
                <w:rFonts w:ascii="Calibri" w:hAnsi="Calibri"/>
                <w:sz w:val="16"/>
                <w:szCs w:val="16"/>
              </w:rPr>
              <w:t>600.000,00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7EA31E6"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3E88F5EF" w14:textId="77777777" w:rsidR="00C442DB" w:rsidRPr="00C442DB" w:rsidRDefault="00C442DB" w:rsidP="00C442DB">
            <w:pPr>
              <w:jc w:val="left"/>
              <w:rPr>
                <w:rFonts w:ascii="Calibri" w:hAnsi="Calibri"/>
                <w:sz w:val="16"/>
                <w:szCs w:val="16"/>
              </w:rPr>
            </w:pPr>
            <w:r w:rsidRPr="00C442DB">
              <w:rPr>
                <w:rFonts w:ascii="Calibri" w:hAnsi="Calibri"/>
                <w:sz w:val="16"/>
                <w:szCs w:val="16"/>
              </w:rPr>
              <w:t>04.11.2029.</w:t>
            </w:r>
          </w:p>
        </w:tc>
        <w:tc>
          <w:tcPr>
            <w:tcW w:w="842" w:type="dxa"/>
            <w:tcBorders>
              <w:top w:val="nil"/>
              <w:left w:val="nil"/>
              <w:bottom w:val="single" w:sz="4" w:space="0" w:color="auto"/>
              <w:right w:val="single" w:sz="4" w:space="0" w:color="auto"/>
            </w:tcBorders>
            <w:shd w:val="clear" w:color="auto" w:fill="auto"/>
            <w:noWrap/>
            <w:vAlign w:val="bottom"/>
            <w:hideMark/>
          </w:tcPr>
          <w:p w14:paraId="274FA033"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04.11.2023</w:t>
            </w:r>
          </w:p>
        </w:tc>
      </w:tr>
      <w:tr w:rsidR="00C442DB" w:rsidRPr="00C442DB" w14:paraId="3FBF0DD8"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02DF8E15" w14:textId="77777777" w:rsidR="00C442DB" w:rsidRPr="00C442DB" w:rsidRDefault="00C442DB" w:rsidP="00C442DB">
            <w:pPr>
              <w:jc w:val="center"/>
              <w:rPr>
                <w:rFonts w:ascii="Calibri" w:hAnsi="Calibri"/>
                <w:sz w:val="16"/>
                <w:szCs w:val="16"/>
              </w:rPr>
            </w:pPr>
            <w:r w:rsidRPr="00C442DB">
              <w:rPr>
                <w:rFonts w:ascii="Calibri" w:hAnsi="Calibri"/>
                <w:sz w:val="16"/>
                <w:szCs w:val="16"/>
              </w:rPr>
              <w:t>18</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555A76E5" w14:textId="77777777" w:rsidR="00C442DB" w:rsidRPr="00C442DB" w:rsidRDefault="00C442DB" w:rsidP="00C442DB">
            <w:pPr>
              <w:jc w:val="left"/>
              <w:rPr>
                <w:rFonts w:ascii="Calibri" w:hAnsi="Calibri"/>
                <w:sz w:val="16"/>
                <w:szCs w:val="16"/>
              </w:rPr>
            </w:pPr>
            <w:r w:rsidRPr="00C442DB">
              <w:rPr>
                <w:rFonts w:ascii="Calibri" w:hAnsi="Calibri"/>
                <w:sz w:val="16"/>
                <w:szCs w:val="16"/>
              </w:rPr>
              <w:t>MDPF -O-G MKD PRO FIN</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0A902309"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569CD3B4" w14:textId="77777777" w:rsidR="00C442DB" w:rsidRPr="00C442DB" w:rsidRDefault="00C442DB" w:rsidP="00C442DB">
            <w:pPr>
              <w:jc w:val="right"/>
              <w:rPr>
                <w:rFonts w:ascii="Calibri" w:hAnsi="Calibri"/>
                <w:sz w:val="16"/>
                <w:szCs w:val="16"/>
              </w:rPr>
            </w:pPr>
            <w:r w:rsidRPr="00C442DB">
              <w:rPr>
                <w:rFonts w:ascii="Calibri" w:hAnsi="Calibri"/>
                <w:sz w:val="16"/>
                <w:szCs w:val="16"/>
              </w:rPr>
              <w:t>20.000</w:t>
            </w:r>
          </w:p>
        </w:tc>
        <w:tc>
          <w:tcPr>
            <w:tcW w:w="996" w:type="dxa"/>
            <w:tcBorders>
              <w:top w:val="nil"/>
              <w:left w:val="nil"/>
              <w:bottom w:val="single" w:sz="4" w:space="0" w:color="auto"/>
              <w:right w:val="single" w:sz="4" w:space="0" w:color="auto"/>
            </w:tcBorders>
            <w:shd w:val="clear" w:color="auto" w:fill="auto"/>
            <w:noWrap/>
            <w:vAlign w:val="bottom"/>
            <w:hideMark/>
          </w:tcPr>
          <w:p w14:paraId="59728C83" w14:textId="77777777" w:rsidR="00C442DB" w:rsidRPr="00C442DB" w:rsidRDefault="00C442DB" w:rsidP="00C442DB">
            <w:pPr>
              <w:jc w:val="right"/>
              <w:rPr>
                <w:rFonts w:ascii="Calibri" w:hAnsi="Calibri"/>
                <w:sz w:val="16"/>
                <w:szCs w:val="16"/>
              </w:rPr>
            </w:pPr>
            <w:r w:rsidRPr="00C442DB">
              <w:rPr>
                <w:rFonts w:ascii="Calibri" w:hAnsi="Calibri"/>
                <w:sz w:val="16"/>
                <w:szCs w:val="16"/>
              </w:rPr>
              <w:t>150.000,00</w:t>
            </w:r>
          </w:p>
        </w:tc>
        <w:tc>
          <w:tcPr>
            <w:tcW w:w="855" w:type="dxa"/>
            <w:tcBorders>
              <w:top w:val="nil"/>
              <w:left w:val="nil"/>
              <w:bottom w:val="single" w:sz="4" w:space="0" w:color="auto"/>
              <w:right w:val="single" w:sz="4" w:space="0" w:color="auto"/>
            </w:tcBorders>
            <w:shd w:val="clear" w:color="auto" w:fill="auto"/>
            <w:noWrap/>
            <w:vAlign w:val="bottom"/>
            <w:hideMark/>
          </w:tcPr>
          <w:p w14:paraId="1A855B8D"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nil"/>
              <w:left w:val="nil"/>
              <w:bottom w:val="single" w:sz="4" w:space="0" w:color="auto"/>
              <w:right w:val="single" w:sz="4" w:space="0" w:color="auto"/>
            </w:tcBorders>
            <w:shd w:val="clear" w:color="auto" w:fill="auto"/>
            <w:noWrap/>
            <w:vAlign w:val="bottom"/>
            <w:hideMark/>
          </w:tcPr>
          <w:p w14:paraId="09160186" w14:textId="77777777" w:rsidR="00C442DB" w:rsidRPr="00C442DB" w:rsidRDefault="00C442DB" w:rsidP="00C442DB">
            <w:pPr>
              <w:jc w:val="right"/>
              <w:rPr>
                <w:rFonts w:ascii="Calibri" w:hAnsi="Calibri"/>
                <w:sz w:val="16"/>
                <w:szCs w:val="16"/>
              </w:rPr>
            </w:pPr>
            <w:r w:rsidRPr="00C442DB">
              <w:rPr>
                <w:rFonts w:ascii="Calibri" w:hAnsi="Calibri"/>
                <w:sz w:val="16"/>
                <w:szCs w:val="16"/>
              </w:rPr>
              <w:t>142.519,83</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2C45283B"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74251BE6" w14:textId="77777777" w:rsidR="00C442DB" w:rsidRPr="00C442DB" w:rsidRDefault="00C442DB" w:rsidP="00C442DB">
            <w:pPr>
              <w:jc w:val="left"/>
              <w:rPr>
                <w:rFonts w:ascii="Calibri" w:hAnsi="Calibri"/>
                <w:sz w:val="16"/>
                <w:szCs w:val="16"/>
              </w:rPr>
            </w:pPr>
            <w:r w:rsidRPr="00C442DB">
              <w:rPr>
                <w:rFonts w:ascii="Calibri" w:hAnsi="Calibri"/>
                <w:sz w:val="16"/>
                <w:szCs w:val="16"/>
              </w:rPr>
              <w:t>03.11.2026.</w:t>
            </w:r>
          </w:p>
        </w:tc>
        <w:tc>
          <w:tcPr>
            <w:tcW w:w="842" w:type="dxa"/>
            <w:tcBorders>
              <w:top w:val="nil"/>
              <w:left w:val="nil"/>
              <w:bottom w:val="single" w:sz="4" w:space="0" w:color="auto"/>
              <w:right w:val="single" w:sz="4" w:space="0" w:color="auto"/>
            </w:tcBorders>
            <w:shd w:val="clear" w:color="auto" w:fill="auto"/>
            <w:noWrap/>
            <w:vAlign w:val="bottom"/>
            <w:hideMark/>
          </w:tcPr>
          <w:p w14:paraId="4EAC36CC"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12.10.2023</w:t>
            </w:r>
          </w:p>
        </w:tc>
      </w:tr>
      <w:tr w:rsidR="00C442DB" w:rsidRPr="00C442DB" w14:paraId="0D2CA0F9"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1F82FA3A" w14:textId="77777777" w:rsidR="00C442DB" w:rsidRPr="00C442DB" w:rsidRDefault="00C442DB" w:rsidP="00C442DB">
            <w:pPr>
              <w:jc w:val="center"/>
              <w:rPr>
                <w:rFonts w:ascii="Calibri" w:hAnsi="Calibri"/>
                <w:sz w:val="16"/>
                <w:szCs w:val="16"/>
              </w:rPr>
            </w:pPr>
            <w:r w:rsidRPr="00C442DB">
              <w:rPr>
                <w:rFonts w:ascii="Calibri" w:hAnsi="Calibri"/>
                <w:sz w:val="16"/>
                <w:szCs w:val="16"/>
              </w:rPr>
              <w:t>19</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7EC645FA"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MDPF-O-B MKD PRO-FIN </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17778FE5" w14:textId="77777777" w:rsidR="00C442DB" w:rsidRPr="00C442DB" w:rsidRDefault="00C442DB" w:rsidP="00C442DB">
            <w:pPr>
              <w:jc w:val="right"/>
              <w:rPr>
                <w:rFonts w:ascii="Calibri" w:hAnsi="Calibri"/>
                <w:sz w:val="16"/>
                <w:szCs w:val="16"/>
              </w:rPr>
            </w:pPr>
            <w:r w:rsidRPr="00C442DB">
              <w:rPr>
                <w:rFonts w:ascii="Calibri" w:hAnsi="Calibri"/>
                <w:sz w:val="16"/>
                <w:szCs w:val="16"/>
              </w:rPr>
              <w:t>1.800.000,00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60D7F245" w14:textId="77777777" w:rsidR="00C442DB" w:rsidRPr="00C442DB" w:rsidRDefault="00C442DB" w:rsidP="00C442DB">
            <w:pPr>
              <w:jc w:val="right"/>
              <w:rPr>
                <w:rFonts w:ascii="Calibri" w:hAnsi="Calibri"/>
                <w:sz w:val="16"/>
                <w:szCs w:val="16"/>
              </w:rPr>
            </w:pPr>
            <w:r w:rsidRPr="00C442DB">
              <w:rPr>
                <w:rFonts w:ascii="Calibri" w:hAnsi="Calibri"/>
                <w:sz w:val="16"/>
                <w:szCs w:val="16"/>
              </w:rPr>
              <w:t>2.000</w:t>
            </w:r>
          </w:p>
        </w:tc>
        <w:tc>
          <w:tcPr>
            <w:tcW w:w="996" w:type="dxa"/>
            <w:tcBorders>
              <w:top w:val="nil"/>
              <w:left w:val="nil"/>
              <w:bottom w:val="single" w:sz="4" w:space="0" w:color="auto"/>
              <w:right w:val="single" w:sz="4" w:space="0" w:color="auto"/>
            </w:tcBorders>
            <w:shd w:val="clear" w:color="auto" w:fill="auto"/>
            <w:noWrap/>
            <w:vAlign w:val="bottom"/>
            <w:hideMark/>
          </w:tcPr>
          <w:p w14:paraId="5776361A"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6D067901"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nil"/>
              <w:left w:val="nil"/>
              <w:bottom w:val="single" w:sz="4" w:space="0" w:color="auto"/>
              <w:right w:val="single" w:sz="4" w:space="0" w:color="auto"/>
            </w:tcBorders>
            <w:shd w:val="clear" w:color="auto" w:fill="auto"/>
            <w:noWrap/>
            <w:vAlign w:val="bottom"/>
            <w:hideMark/>
          </w:tcPr>
          <w:p w14:paraId="2C5D1B58" w14:textId="77777777" w:rsidR="00C442DB" w:rsidRPr="00C442DB" w:rsidRDefault="00C442DB" w:rsidP="00C442DB">
            <w:pPr>
              <w:jc w:val="right"/>
              <w:rPr>
                <w:rFonts w:ascii="Calibri" w:hAnsi="Calibri"/>
                <w:sz w:val="16"/>
                <w:szCs w:val="16"/>
              </w:rPr>
            </w:pPr>
            <w:r w:rsidRPr="00C442DB">
              <w:rPr>
                <w:rFonts w:ascii="Calibri" w:hAnsi="Calibri"/>
                <w:sz w:val="16"/>
                <w:szCs w:val="16"/>
              </w:rPr>
              <w:t>60.933,13</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0AEEBBBD"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03A5010E" w14:textId="77777777" w:rsidR="00C442DB" w:rsidRPr="00C442DB" w:rsidRDefault="00C442DB" w:rsidP="00C442DB">
            <w:pPr>
              <w:jc w:val="left"/>
              <w:rPr>
                <w:rFonts w:ascii="Calibri" w:hAnsi="Calibri"/>
                <w:sz w:val="16"/>
                <w:szCs w:val="16"/>
              </w:rPr>
            </w:pPr>
            <w:r w:rsidRPr="00C442DB">
              <w:rPr>
                <w:rFonts w:ascii="Calibri" w:hAnsi="Calibri"/>
                <w:sz w:val="16"/>
                <w:szCs w:val="16"/>
              </w:rPr>
              <w:t>17.11.2024.</w:t>
            </w:r>
          </w:p>
        </w:tc>
        <w:tc>
          <w:tcPr>
            <w:tcW w:w="842" w:type="dxa"/>
            <w:tcBorders>
              <w:top w:val="nil"/>
              <w:left w:val="nil"/>
              <w:bottom w:val="single" w:sz="4" w:space="0" w:color="auto"/>
              <w:right w:val="single" w:sz="4" w:space="0" w:color="auto"/>
            </w:tcBorders>
            <w:shd w:val="clear" w:color="auto" w:fill="auto"/>
            <w:noWrap/>
            <w:vAlign w:val="bottom"/>
            <w:hideMark/>
          </w:tcPr>
          <w:p w14:paraId="6C261CD2"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17.12.2024</w:t>
            </w:r>
          </w:p>
        </w:tc>
      </w:tr>
      <w:tr w:rsidR="00C442DB" w:rsidRPr="00C442DB" w14:paraId="7716B5DA"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04282D87" w14:textId="77777777" w:rsidR="00C442DB" w:rsidRPr="00C442DB" w:rsidRDefault="00C442DB" w:rsidP="00C442DB">
            <w:pPr>
              <w:jc w:val="center"/>
              <w:rPr>
                <w:rFonts w:ascii="Calibri" w:hAnsi="Calibri"/>
                <w:sz w:val="16"/>
                <w:szCs w:val="16"/>
              </w:rPr>
            </w:pPr>
            <w:r w:rsidRPr="00C442DB">
              <w:rPr>
                <w:rFonts w:ascii="Calibri" w:hAnsi="Calibri"/>
                <w:sz w:val="16"/>
                <w:szCs w:val="16"/>
              </w:rPr>
              <w:t>20</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146748F2"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MDPF-O-E MKD PRO-FIN </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59662888"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3F2DC139" w14:textId="77777777" w:rsidR="00C442DB" w:rsidRPr="00C442DB" w:rsidRDefault="00C442DB" w:rsidP="00C442DB">
            <w:pPr>
              <w:jc w:val="right"/>
              <w:rPr>
                <w:rFonts w:ascii="Calibri" w:hAnsi="Calibri"/>
                <w:sz w:val="16"/>
                <w:szCs w:val="16"/>
              </w:rPr>
            </w:pPr>
            <w:r w:rsidRPr="00C442DB">
              <w:rPr>
                <w:rFonts w:ascii="Calibri" w:hAnsi="Calibri"/>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14:paraId="595A7D0D"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7F7C314A"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nil"/>
              <w:left w:val="nil"/>
              <w:bottom w:val="single" w:sz="4" w:space="0" w:color="auto"/>
              <w:right w:val="single" w:sz="4" w:space="0" w:color="auto"/>
            </w:tcBorders>
            <w:shd w:val="clear" w:color="auto" w:fill="auto"/>
            <w:noWrap/>
            <w:vAlign w:val="bottom"/>
            <w:hideMark/>
          </w:tcPr>
          <w:p w14:paraId="5A7BCE5B" w14:textId="77777777" w:rsidR="00C442DB" w:rsidRPr="00C442DB" w:rsidRDefault="00C442DB" w:rsidP="00C442DB">
            <w:pPr>
              <w:jc w:val="right"/>
              <w:rPr>
                <w:rFonts w:ascii="Calibri" w:hAnsi="Calibri"/>
                <w:sz w:val="16"/>
                <w:szCs w:val="16"/>
              </w:rPr>
            </w:pPr>
            <w:r w:rsidRPr="00C442DB">
              <w:rPr>
                <w:rFonts w:ascii="Calibri" w:hAnsi="Calibri"/>
                <w:sz w:val="16"/>
                <w:szCs w:val="16"/>
              </w:rPr>
              <w:t>153.868,16</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5AA8573E"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0727CBBB" w14:textId="77777777" w:rsidR="00C442DB" w:rsidRPr="00C442DB" w:rsidRDefault="00C442DB" w:rsidP="00C442DB">
            <w:pPr>
              <w:jc w:val="right"/>
              <w:rPr>
                <w:rFonts w:ascii="Calibri" w:hAnsi="Calibri"/>
                <w:sz w:val="16"/>
                <w:szCs w:val="16"/>
              </w:rPr>
            </w:pPr>
            <w:r w:rsidRPr="00C442DB">
              <w:rPr>
                <w:rFonts w:ascii="Calibri" w:hAnsi="Calibri"/>
                <w:sz w:val="16"/>
                <w:szCs w:val="16"/>
              </w:rPr>
              <w:t>23.03.2025</w:t>
            </w:r>
          </w:p>
        </w:tc>
        <w:tc>
          <w:tcPr>
            <w:tcW w:w="842" w:type="dxa"/>
            <w:tcBorders>
              <w:top w:val="nil"/>
              <w:left w:val="nil"/>
              <w:bottom w:val="single" w:sz="4" w:space="0" w:color="auto"/>
              <w:right w:val="single" w:sz="4" w:space="0" w:color="auto"/>
            </w:tcBorders>
            <w:shd w:val="clear" w:color="auto" w:fill="auto"/>
            <w:noWrap/>
            <w:vAlign w:val="bottom"/>
            <w:hideMark/>
          </w:tcPr>
          <w:p w14:paraId="1CBF6F1F"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23.08.2023</w:t>
            </w:r>
          </w:p>
        </w:tc>
      </w:tr>
      <w:tr w:rsidR="00C442DB" w:rsidRPr="00C442DB" w14:paraId="65477131"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3D4B51E0" w14:textId="77777777" w:rsidR="00C442DB" w:rsidRPr="00C442DB" w:rsidRDefault="00C442DB" w:rsidP="00C442DB">
            <w:pPr>
              <w:jc w:val="center"/>
              <w:rPr>
                <w:rFonts w:ascii="Calibri" w:hAnsi="Calibri"/>
                <w:sz w:val="16"/>
                <w:szCs w:val="16"/>
              </w:rPr>
            </w:pPr>
            <w:r w:rsidRPr="00C442DB">
              <w:rPr>
                <w:rFonts w:ascii="Calibri" w:hAnsi="Calibri"/>
                <w:sz w:val="16"/>
                <w:szCs w:val="16"/>
              </w:rPr>
              <w:t>21</w:t>
            </w:r>
          </w:p>
        </w:tc>
        <w:tc>
          <w:tcPr>
            <w:tcW w:w="999" w:type="dxa"/>
            <w:gridSpan w:val="2"/>
            <w:tcBorders>
              <w:top w:val="single" w:sz="4" w:space="0" w:color="auto"/>
              <w:left w:val="nil"/>
              <w:bottom w:val="single" w:sz="4" w:space="0" w:color="auto"/>
              <w:right w:val="single" w:sz="4" w:space="0" w:color="auto"/>
            </w:tcBorders>
            <w:shd w:val="clear" w:color="auto" w:fill="auto"/>
            <w:noWrap/>
            <w:vAlign w:val="bottom"/>
            <w:hideMark/>
          </w:tcPr>
          <w:p w14:paraId="0D90C496" w14:textId="77777777" w:rsidR="00C442DB" w:rsidRPr="00C442DB" w:rsidRDefault="00C442DB" w:rsidP="00C442DB">
            <w:pPr>
              <w:jc w:val="left"/>
              <w:rPr>
                <w:rFonts w:ascii="Calibri" w:hAnsi="Calibri"/>
                <w:sz w:val="16"/>
                <w:szCs w:val="16"/>
              </w:rPr>
            </w:pPr>
            <w:r w:rsidRPr="00C442DB">
              <w:rPr>
                <w:rFonts w:ascii="Calibri" w:hAnsi="Calibri"/>
                <w:sz w:val="16"/>
                <w:szCs w:val="16"/>
              </w:rPr>
              <w:t>MDPF-O-H MKF PRO-FIN</w:t>
            </w:r>
          </w:p>
        </w:tc>
        <w:tc>
          <w:tcPr>
            <w:tcW w:w="111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5D2698A" w14:textId="77777777" w:rsidR="00C442DB" w:rsidRPr="00C442DB" w:rsidRDefault="00C442DB" w:rsidP="00C442DB">
            <w:pPr>
              <w:jc w:val="right"/>
              <w:rPr>
                <w:rFonts w:ascii="Calibri" w:hAnsi="Calibri"/>
                <w:sz w:val="16"/>
                <w:szCs w:val="16"/>
              </w:rPr>
            </w:pPr>
            <w:r w:rsidRPr="00C442DB">
              <w:rPr>
                <w:rFonts w:ascii="Calibri" w:hAnsi="Calibri"/>
                <w:sz w:val="16"/>
                <w:szCs w:val="16"/>
              </w:rPr>
              <w:t>1.650.000,00</w:t>
            </w:r>
          </w:p>
        </w:tc>
        <w:tc>
          <w:tcPr>
            <w:tcW w:w="8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74278BB3" w14:textId="77777777" w:rsidR="00C442DB" w:rsidRPr="00C442DB" w:rsidRDefault="00C442DB" w:rsidP="00C442DB">
            <w:pPr>
              <w:jc w:val="right"/>
              <w:rPr>
                <w:rFonts w:ascii="Calibri" w:hAnsi="Calibri"/>
                <w:sz w:val="16"/>
                <w:szCs w:val="16"/>
              </w:rPr>
            </w:pPr>
            <w:r w:rsidRPr="00C442DB">
              <w:rPr>
                <w:rFonts w:ascii="Calibri" w:hAnsi="Calibri"/>
                <w:sz w:val="16"/>
                <w:szCs w:val="16"/>
              </w:rPr>
              <w:t>1.000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14:paraId="2C27578D"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14:paraId="7C568A12" w14:textId="77777777" w:rsidR="00C442DB" w:rsidRPr="00C442DB" w:rsidRDefault="00C442DB" w:rsidP="00C442DB">
            <w:pPr>
              <w:jc w:val="right"/>
              <w:rPr>
                <w:rFonts w:ascii="Calibri" w:hAnsi="Calibri"/>
                <w:sz w:val="16"/>
                <w:szCs w:val="16"/>
              </w:rPr>
            </w:pPr>
            <w:r w:rsidRPr="00C442DB">
              <w:rPr>
                <w:rFonts w:ascii="Calibri" w:hAnsi="Calibri"/>
                <w:sz w:val="16"/>
                <w:szCs w:val="16"/>
              </w:rPr>
              <w:t>7,50%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1EFBCA2E"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3C880115"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89E4936" w14:textId="77777777" w:rsidR="00C442DB" w:rsidRPr="00C442DB" w:rsidRDefault="00C442DB" w:rsidP="00C442DB">
            <w:pPr>
              <w:jc w:val="right"/>
              <w:rPr>
                <w:rFonts w:ascii="Calibri" w:hAnsi="Calibri"/>
                <w:sz w:val="16"/>
                <w:szCs w:val="16"/>
              </w:rPr>
            </w:pPr>
            <w:r w:rsidRPr="00C442DB">
              <w:rPr>
                <w:rFonts w:ascii="Calibri" w:hAnsi="Calibri"/>
                <w:sz w:val="16"/>
                <w:szCs w:val="16"/>
              </w:rPr>
              <w:t>27.12.2026</w:t>
            </w:r>
          </w:p>
        </w:tc>
        <w:tc>
          <w:tcPr>
            <w:tcW w:w="842" w:type="dxa"/>
            <w:tcBorders>
              <w:top w:val="nil"/>
              <w:left w:val="nil"/>
              <w:bottom w:val="single" w:sz="4" w:space="0" w:color="auto"/>
              <w:right w:val="single" w:sz="4" w:space="0" w:color="auto"/>
            </w:tcBorders>
            <w:shd w:val="clear" w:color="auto" w:fill="auto"/>
            <w:noWrap/>
            <w:vAlign w:val="bottom"/>
            <w:hideMark/>
          </w:tcPr>
          <w:p w14:paraId="7B6B7A80"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27.01.2024</w:t>
            </w:r>
          </w:p>
        </w:tc>
      </w:tr>
      <w:tr w:rsidR="00C442DB" w:rsidRPr="00C442DB" w14:paraId="05E39F4F"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00CE45D6" w14:textId="77777777" w:rsidR="00C442DB" w:rsidRPr="00C442DB" w:rsidRDefault="00C442DB" w:rsidP="00C442DB">
            <w:pPr>
              <w:jc w:val="center"/>
              <w:rPr>
                <w:rFonts w:ascii="Calibri" w:hAnsi="Calibri"/>
                <w:sz w:val="16"/>
                <w:szCs w:val="16"/>
              </w:rPr>
            </w:pPr>
            <w:r w:rsidRPr="00C442DB">
              <w:rPr>
                <w:rFonts w:ascii="Calibri" w:hAnsi="Calibri"/>
                <w:sz w:val="16"/>
                <w:szCs w:val="16"/>
              </w:rPr>
              <w:t>22</w:t>
            </w:r>
          </w:p>
        </w:tc>
        <w:tc>
          <w:tcPr>
            <w:tcW w:w="999"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59DED7" w14:textId="77777777" w:rsidR="00C442DB" w:rsidRPr="00C442DB" w:rsidRDefault="00C442DB" w:rsidP="00C442DB">
            <w:pPr>
              <w:jc w:val="left"/>
              <w:rPr>
                <w:rFonts w:ascii="Calibri" w:hAnsi="Calibri"/>
                <w:sz w:val="16"/>
                <w:szCs w:val="16"/>
              </w:rPr>
            </w:pPr>
            <w:r w:rsidRPr="00C442DB">
              <w:rPr>
                <w:rFonts w:ascii="Calibri" w:hAnsi="Calibri"/>
                <w:sz w:val="16"/>
                <w:szCs w:val="16"/>
              </w:rPr>
              <w:t>CRRF-О-G MKD Credis</w:t>
            </w:r>
          </w:p>
        </w:tc>
        <w:tc>
          <w:tcPr>
            <w:tcW w:w="111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6C68526"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2.000.000,00</w:t>
            </w:r>
          </w:p>
        </w:tc>
        <w:tc>
          <w:tcPr>
            <w:tcW w:w="8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EEB3C5" w14:textId="77777777" w:rsidR="00C442DB" w:rsidRPr="00C442DB" w:rsidRDefault="00C442DB" w:rsidP="00C442DB">
            <w:pPr>
              <w:jc w:val="right"/>
              <w:rPr>
                <w:rFonts w:ascii="Calibri" w:hAnsi="Calibri"/>
                <w:sz w:val="16"/>
                <w:szCs w:val="16"/>
              </w:rPr>
            </w:pPr>
            <w:r w:rsidRPr="00C442DB">
              <w:rPr>
                <w:rFonts w:ascii="Calibri" w:hAnsi="Calibri"/>
                <w:sz w:val="16"/>
                <w:szCs w:val="16"/>
              </w:rPr>
              <w:t>365</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14:paraId="4873402C" w14:textId="77777777" w:rsidR="00C442DB" w:rsidRPr="00C442DB" w:rsidRDefault="00C442DB" w:rsidP="00C442DB">
            <w:pPr>
              <w:jc w:val="right"/>
              <w:rPr>
                <w:rFonts w:ascii="Calibri" w:hAnsi="Calibri"/>
                <w:sz w:val="16"/>
                <w:szCs w:val="16"/>
              </w:rPr>
            </w:pPr>
            <w:r w:rsidRPr="00C442DB">
              <w:rPr>
                <w:rFonts w:ascii="Calibri" w:hAnsi="Calibri"/>
                <w:sz w:val="16"/>
                <w:szCs w:val="16"/>
              </w:rPr>
              <w:t>365.000,00</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14:paraId="0871BF72"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0ECA2DD7" w14:textId="77777777" w:rsidR="00C442DB" w:rsidRPr="00C442DB" w:rsidRDefault="00C442DB" w:rsidP="00C442DB">
            <w:pPr>
              <w:jc w:val="right"/>
              <w:rPr>
                <w:rFonts w:ascii="Calibri" w:hAnsi="Calibri"/>
                <w:sz w:val="16"/>
                <w:szCs w:val="16"/>
              </w:rPr>
            </w:pPr>
            <w:r w:rsidRPr="00C442DB">
              <w:rPr>
                <w:rFonts w:ascii="Calibri" w:hAnsi="Calibri"/>
                <w:sz w:val="16"/>
                <w:szCs w:val="16"/>
              </w:rPr>
              <w:t>121.666,68</w:t>
            </w:r>
          </w:p>
        </w:tc>
        <w:tc>
          <w:tcPr>
            <w:tcW w:w="8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7D4D5822"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single" w:sz="4" w:space="0" w:color="auto"/>
              <w:left w:val="nil"/>
              <w:bottom w:val="single" w:sz="4" w:space="0" w:color="auto"/>
              <w:right w:val="single" w:sz="4" w:space="0" w:color="auto"/>
            </w:tcBorders>
            <w:shd w:val="clear" w:color="auto" w:fill="auto"/>
            <w:noWrap/>
            <w:vAlign w:val="bottom"/>
            <w:hideMark/>
          </w:tcPr>
          <w:p w14:paraId="1B3B180D" w14:textId="77777777" w:rsidR="00C442DB" w:rsidRPr="00C442DB" w:rsidRDefault="00C442DB" w:rsidP="00C442DB">
            <w:pPr>
              <w:jc w:val="left"/>
              <w:rPr>
                <w:rFonts w:ascii="Calibri" w:hAnsi="Calibri"/>
                <w:sz w:val="16"/>
                <w:szCs w:val="16"/>
              </w:rPr>
            </w:pPr>
            <w:r w:rsidRPr="00C442DB">
              <w:rPr>
                <w:rFonts w:ascii="Calibri" w:hAnsi="Calibri"/>
                <w:sz w:val="16"/>
                <w:szCs w:val="16"/>
              </w:rPr>
              <w:t>02.11.2024.</w:t>
            </w:r>
          </w:p>
        </w:tc>
        <w:tc>
          <w:tcPr>
            <w:tcW w:w="842" w:type="dxa"/>
            <w:tcBorders>
              <w:top w:val="nil"/>
              <w:left w:val="nil"/>
              <w:bottom w:val="single" w:sz="4" w:space="0" w:color="auto"/>
              <w:right w:val="single" w:sz="4" w:space="0" w:color="auto"/>
            </w:tcBorders>
            <w:shd w:val="clear" w:color="auto" w:fill="auto"/>
            <w:noWrap/>
            <w:vAlign w:val="bottom"/>
            <w:hideMark/>
          </w:tcPr>
          <w:p w14:paraId="45165C66"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02.11.2023</w:t>
            </w:r>
          </w:p>
        </w:tc>
      </w:tr>
      <w:tr w:rsidR="00C442DB" w:rsidRPr="00C442DB" w14:paraId="5736BCD6"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08633C8B" w14:textId="77777777" w:rsidR="00C442DB" w:rsidRPr="00C442DB" w:rsidRDefault="00C442DB" w:rsidP="00C442DB">
            <w:pPr>
              <w:jc w:val="center"/>
              <w:rPr>
                <w:rFonts w:ascii="Calibri" w:hAnsi="Calibri"/>
                <w:sz w:val="16"/>
                <w:szCs w:val="16"/>
              </w:rPr>
            </w:pPr>
            <w:r w:rsidRPr="00C442DB">
              <w:rPr>
                <w:rFonts w:ascii="Calibri" w:hAnsi="Calibri"/>
                <w:sz w:val="16"/>
                <w:szCs w:val="16"/>
              </w:rPr>
              <w:t>23</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621665BA" w14:textId="77777777" w:rsidR="00C442DB" w:rsidRPr="00C442DB" w:rsidRDefault="00C442DB" w:rsidP="00C442DB">
            <w:pPr>
              <w:jc w:val="left"/>
              <w:rPr>
                <w:rFonts w:ascii="Calibri" w:hAnsi="Calibri"/>
                <w:sz w:val="16"/>
                <w:szCs w:val="16"/>
              </w:rPr>
            </w:pPr>
            <w:r w:rsidRPr="00C442DB">
              <w:rPr>
                <w:rFonts w:ascii="Calibri" w:hAnsi="Calibri"/>
                <w:sz w:val="16"/>
                <w:szCs w:val="16"/>
              </w:rPr>
              <w:t>CRRF-O-J MKD Credis</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10498A7B" w14:textId="77777777" w:rsidR="00C442DB" w:rsidRPr="00C442DB" w:rsidRDefault="00C442DB" w:rsidP="00C442DB">
            <w:pPr>
              <w:jc w:val="right"/>
              <w:rPr>
                <w:rFonts w:ascii="Calibri" w:hAnsi="Calibri"/>
                <w:sz w:val="16"/>
                <w:szCs w:val="16"/>
              </w:rPr>
            </w:pPr>
            <w:r w:rsidRPr="00C442DB">
              <w:rPr>
                <w:rFonts w:ascii="Calibri" w:hAnsi="Calibri"/>
                <w:sz w:val="16"/>
                <w:szCs w:val="16"/>
              </w:rPr>
              <w:t>1.600.000,00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70525876" w14:textId="77777777" w:rsidR="00C442DB" w:rsidRPr="00C442DB" w:rsidRDefault="00C442DB" w:rsidP="00C442DB">
            <w:pPr>
              <w:jc w:val="right"/>
              <w:rPr>
                <w:rFonts w:ascii="Calibri" w:hAnsi="Calibri"/>
                <w:sz w:val="16"/>
                <w:szCs w:val="16"/>
              </w:rPr>
            </w:pPr>
            <w:r w:rsidRPr="00C442DB">
              <w:rPr>
                <w:rFonts w:ascii="Calibri" w:hAnsi="Calibri"/>
                <w:sz w:val="16"/>
                <w:szCs w:val="16"/>
              </w:rPr>
              <w:t>1.500</w:t>
            </w:r>
          </w:p>
        </w:tc>
        <w:tc>
          <w:tcPr>
            <w:tcW w:w="996" w:type="dxa"/>
            <w:tcBorders>
              <w:top w:val="nil"/>
              <w:left w:val="nil"/>
              <w:bottom w:val="single" w:sz="4" w:space="0" w:color="auto"/>
              <w:right w:val="single" w:sz="4" w:space="0" w:color="auto"/>
            </w:tcBorders>
            <w:shd w:val="clear" w:color="auto" w:fill="auto"/>
            <w:noWrap/>
            <w:vAlign w:val="bottom"/>
            <w:hideMark/>
          </w:tcPr>
          <w:p w14:paraId="2218A785" w14:textId="77777777" w:rsidR="00C442DB" w:rsidRPr="00C442DB" w:rsidRDefault="00C442DB" w:rsidP="00C442DB">
            <w:pPr>
              <w:jc w:val="right"/>
              <w:rPr>
                <w:rFonts w:ascii="Calibri" w:hAnsi="Calibri"/>
                <w:sz w:val="16"/>
                <w:szCs w:val="16"/>
              </w:rPr>
            </w:pPr>
            <w:r w:rsidRPr="00C442DB">
              <w:rPr>
                <w:rFonts w:ascii="Calibri" w:hAnsi="Calibri"/>
                <w:sz w:val="16"/>
                <w:szCs w:val="16"/>
              </w:rPr>
              <w:t>125.000,00</w:t>
            </w:r>
          </w:p>
        </w:tc>
        <w:tc>
          <w:tcPr>
            <w:tcW w:w="855" w:type="dxa"/>
            <w:tcBorders>
              <w:top w:val="nil"/>
              <w:left w:val="nil"/>
              <w:bottom w:val="single" w:sz="4" w:space="0" w:color="auto"/>
              <w:right w:val="single" w:sz="4" w:space="0" w:color="auto"/>
            </w:tcBorders>
            <w:shd w:val="clear" w:color="auto" w:fill="auto"/>
            <w:noWrap/>
            <w:vAlign w:val="bottom"/>
            <w:hideMark/>
          </w:tcPr>
          <w:p w14:paraId="26DF6E83"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649F5F38" w14:textId="77777777" w:rsidR="00C442DB" w:rsidRPr="00C442DB" w:rsidRDefault="00C442DB" w:rsidP="00C442DB">
            <w:pPr>
              <w:jc w:val="right"/>
              <w:rPr>
                <w:rFonts w:ascii="Calibri" w:hAnsi="Calibri"/>
                <w:sz w:val="16"/>
                <w:szCs w:val="16"/>
              </w:rPr>
            </w:pPr>
            <w:r w:rsidRPr="00C442DB">
              <w:rPr>
                <w:rFonts w:ascii="Calibri" w:hAnsi="Calibri"/>
                <w:sz w:val="16"/>
                <w:szCs w:val="16"/>
              </w:rPr>
              <w:t>125.000,00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5114DA0F"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27FE4ED0" w14:textId="77777777" w:rsidR="00C442DB" w:rsidRPr="00C442DB" w:rsidRDefault="00C442DB" w:rsidP="00C442DB">
            <w:pPr>
              <w:jc w:val="right"/>
              <w:rPr>
                <w:rFonts w:ascii="Calibri" w:hAnsi="Calibri"/>
                <w:sz w:val="16"/>
                <w:szCs w:val="16"/>
              </w:rPr>
            </w:pPr>
            <w:r w:rsidRPr="00C442DB">
              <w:rPr>
                <w:rFonts w:ascii="Calibri" w:hAnsi="Calibri"/>
                <w:sz w:val="16"/>
                <w:szCs w:val="16"/>
              </w:rPr>
              <w:t>05.09.2026</w:t>
            </w:r>
          </w:p>
        </w:tc>
        <w:tc>
          <w:tcPr>
            <w:tcW w:w="842" w:type="dxa"/>
            <w:tcBorders>
              <w:top w:val="nil"/>
              <w:left w:val="nil"/>
              <w:bottom w:val="single" w:sz="4" w:space="0" w:color="auto"/>
              <w:right w:val="single" w:sz="4" w:space="0" w:color="auto"/>
            </w:tcBorders>
            <w:shd w:val="clear" w:color="auto" w:fill="auto"/>
            <w:noWrap/>
            <w:vAlign w:val="bottom"/>
            <w:hideMark/>
          </w:tcPr>
          <w:p w14:paraId="62224179"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05.03.2024</w:t>
            </w:r>
          </w:p>
        </w:tc>
      </w:tr>
      <w:tr w:rsidR="00C442DB" w:rsidRPr="00C442DB" w14:paraId="40523650"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69F73D93" w14:textId="77777777" w:rsidR="00C442DB" w:rsidRPr="00C442DB" w:rsidRDefault="00C442DB" w:rsidP="00C442DB">
            <w:pPr>
              <w:jc w:val="center"/>
              <w:rPr>
                <w:rFonts w:ascii="Calibri" w:hAnsi="Calibri"/>
                <w:sz w:val="16"/>
                <w:szCs w:val="16"/>
              </w:rPr>
            </w:pPr>
            <w:r w:rsidRPr="00C442DB">
              <w:rPr>
                <w:rFonts w:ascii="Calibri" w:hAnsi="Calibri"/>
                <w:sz w:val="16"/>
                <w:szCs w:val="16"/>
              </w:rPr>
              <w:t>24</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4D021674"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CRRF-O-I MKD Credis </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6424491D" w14:textId="77777777" w:rsidR="00C442DB" w:rsidRPr="00C442DB" w:rsidRDefault="00C442DB" w:rsidP="00C442DB">
            <w:pPr>
              <w:jc w:val="right"/>
              <w:rPr>
                <w:rFonts w:ascii="Calibri" w:hAnsi="Calibri"/>
                <w:sz w:val="16"/>
                <w:szCs w:val="16"/>
              </w:rPr>
            </w:pPr>
            <w:r w:rsidRPr="00C442DB">
              <w:rPr>
                <w:rFonts w:ascii="Calibri" w:hAnsi="Calibri"/>
                <w:sz w:val="16"/>
                <w:szCs w:val="16"/>
              </w:rPr>
              <w:t>1.800.000,00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5F15C9BB" w14:textId="77777777" w:rsidR="00C442DB" w:rsidRPr="00C442DB" w:rsidRDefault="00C442DB" w:rsidP="00C442DB">
            <w:pPr>
              <w:jc w:val="right"/>
              <w:rPr>
                <w:rFonts w:ascii="Calibri" w:hAnsi="Calibri"/>
                <w:sz w:val="16"/>
                <w:szCs w:val="16"/>
              </w:rPr>
            </w:pPr>
            <w:r w:rsidRPr="00C442DB">
              <w:rPr>
                <w:rFonts w:ascii="Calibri" w:hAnsi="Calibri"/>
                <w:sz w:val="16"/>
                <w:szCs w:val="16"/>
              </w:rPr>
              <w:t>215</w:t>
            </w:r>
          </w:p>
        </w:tc>
        <w:tc>
          <w:tcPr>
            <w:tcW w:w="996" w:type="dxa"/>
            <w:tcBorders>
              <w:top w:val="nil"/>
              <w:left w:val="nil"/>
              <w:bottom w:val="single" w:sz="4" w:space="0" w:color="auto"/>
              <w:right w:val="single" w:sz="4" w:space="0" w:color="auto"/>
            </w:tcBorders>
            <w:shd w:val="clear" w:color="auto" w:fill="auto"/>
            <w:noWrap/>
            <w:vAlign w:val="bottom"/>
            <w:hideMark/>
          </w:tcPr>
          <w:p w14:paraId="61E8EFDC" w14:textId="77777777" w:rsidR="00C442DB" w:rsidRPr="00C442DB" w:rsidRDefault="00C442DB" w:rsidP="00C442DB">
            <w:pPr>
              <w:jc w:val="right"/>
              <w:rPr>
                <w:rFonts w:ascii="Calibri" w:hAnsi="Calibri"/>
                <w:sz w:val="16"/>
                <w:szCs w:val="16"/>
              </w:rPr>
            </w:pPr>
            <w:r w:rsidRPr="00C442DB">
              <w:rPr>
                <w:rFonts w:ascii="Calibri" w:hAnsi="Calibri"/>
                <w:sz w:val="16"/>
                <w:szCs w:val="16"/>
              </w:rPr>
              <w:t>215.000,00</w:t>
            </w:r>
          </w:p>
        </w:tc>
        <w:tc>
          <w:tcPr>
            <w:tcW w:w="855" w:type="dxa"/>
            <w:tcBorders>
              <w:top w:val="nil"/>
              <w:left w:val="nil"/>
              <w:bottom w:val="single" w:sz="4" w:space="0" w:color="auto"/>
              <w:right w:val="single" w:sz="4" w:space="0" w:color="auto"/>
            </w:tcBorders>
            <w:shd w:val="clear" w:color="auto" w:fill="auto"/>
            <w:noWrap/>
            <w:vAlign w:val="bottom"/>
            <w:hideMark/>
          </w:tcPr>
          <w:p w14:paraId="4046BE76"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75059226" w14:textId="77777777" w:rsidR="00C442DB" w:rsidRPr="00C442DB" w:rsidRDefault="00C442DB" w:rsidP="00C442DB">
            <w:pPr>
              <w:jc w:val="right"/>
              <w:rPr>
                <w:rFonts w:ascii="Calibri" w:hAnsi="Calibri"/>
                <w:sz w:val="16"/>
                <w:szCs w:val="16"/>
              </w:rPr>
            </w:pPr>
            <w:r w:rsidRPr="00C442DB">
              <w:rPr>
                <w:rFonts w:ascii="Calibri" w:hAnsi="Calibri"/>
                <w:sz w:val="16"/>
                <w:szCs w:val="16"/>
              </w:rPr>
              <w:t>179.166,67</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71C4C179"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243F40F6" w14:textId="77777777" w:rsidR="00C442DB" w:rsidRPr="00C442DB" w:rsidRDefault="00C442DB" w:rsidP="00C442DB">
            <w:pPr>
              <w:jc w:val="right"/>
              <w:rPr>
                <w:rFonts w:ascii="Calibri" w:hAnsi="Calibri"/>
                <w:sz w:val="16"/>
                <w:szCs w:val="16"/>
              </w:rPr>
            </w:pPr>
            <w:r w:rsidRPr="00C442DB">
              <w:rPr>
                <w:rFonts w:ascii="Calibri" w:hAnsi="Calibri"/>
                <w:sz w:val="16"/>
                <w:szCs w:val="16"/>
              </w:rPr>
              <w:t>30.12.2025</w:t>
            </w:r>
          </w:p>
        </w:tc>
        <w:tc>
          <w:tcPr>
            <w:tcW w:w="842" w:type="dxa"/>
            <w:tcBorders>
              <w:top w:val="nil"/>
              <w:left w:val="nil"/>
              <w:bottom w:val="single" w:sz="4" w:space="0" w:color="auto"/>
              <w:right w:val="single" w:sz="4" w:space="0" w:color="auto"/>
            </w:tcBorders>
            <w:shd w:val="clear" w:color="auto" w:fill="auto"/>
            <w:noWrap/>
            <w:vAlign w:val="bottom"/>
            <w:hideMark/>
          </w:tcPr>
          <w:p w14:paraId="29ABD68A" w14:textId="77777777" w:rsidR="00C442DB" w:rsidRPr="00C442DB" w:rsidRDefault="00C442DB" w:rsidP="00AF0599">
            <w:pPr>
              <w:ind w:left="-145" w:right="-108"/>
              <w:jc w:val="center"/>
              <w:rPr>
                <w:rFonts w:ascii="Calibri" w:hAnsi="Calibri"/>
                <w:sz w:val="16"/>
                <w:szCs w:val="16"/>
                <w:lang w:val="sr-Cyrl-RS"/>
              </w:rPr>
            </w:pPr>
            <w:r>
              <w:rPr>
                <w:rFonts w:ascii="Calibri" w:hAnsi="Calibri"/>
                <w:sz w:val="16"/>
                <w:szCs w:val="16"/>
              </w:rPr>
              <w:t>31.12.2023</w:t>
            </w:r>
          </w:p>
        </w:tc>
      </w:tr>
      <w:tr w:rsidR="00C442DB" w:rsidRPr="00C442DB" w14:paraId="42F36648"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2CFA6E29" w14:textId="77777777" w:rsidR="00C442DB" w:rsidRPr="00C442DB" w:rsidRDefault="00C442DB" w:rsidP="00C442DB">
            <w:pPr>
              <w:jc w:val="center"/>
              <w:rPr>
                <w:rFonts w:ascii="Calibri" w:hAnsi="Calibri"/>
                <w:sz w:val="16"/>
                <w:szCs w:val="16"/>
              </w:rPr>
            </w:pPr>
            <w:r w:rsidRPr="00C442DB">
              <w:rPr>
                <w:rFonts w:ascii="Calibri" w:hAnsi="Calibri"/>
                <w:sz w:val="16"/>
                <w:szCs w:val="16"/>
              </w:rPr>
              <w:t>25</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1E60DF3B" w14:textId="77777777" w:rsidR="00C442DB" w:rsidRPr="00C442DB" w:rsidRDefault="00C442DB" w:rsidP="00C442DB">
            <w:pPr>
              <w:jc w:val="left"/>
              <w:rPr>
                <w:rFonts w:ascii="Calibri" w:hAnsi="Calibri"/>
                <w:sz w:val="16"/>
                <w:szCs w:val="16"/>
              </w:rPr>
            </w:pPr>
            <w:r w:rsidRPr="00C442DB">
              <w:rPr>
                <w:rFonts w:ascii="Calibri" w:hAnsi="Calibri"/>
                <w:sz w:val="16"/>
                <w:szCs w:val="16"/>
              </w:rPr>
              <w:t>PIBB-PO1</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0560A717" w14:textId="77777777" w:rsidR="00C442DB" w:rsidRPr="00C442DB" w:rsidRDefault="00C442DB" w:rsidP="00C442DB">
            <w:pPr>
              <w:jc w:val="right"/>
              <w:rPr>
                <w:rFonts w:ascii="Calibri" w:hAnsi="Calibri"/>
                <w:sz w:val="16"/>
                <w:szCs w:val="16"/>
              </w:rPr>
            </w:pPr>
            <w:r w:rsidRPr="00C442DB">
              <w:rPr>
                <w:rFonts w:ascii="Calibri" w:hAnsi="Calibri"/>
                <w:sz w:val="16"/>
                <w:szCs w:val="16"/>
              </w:rPr>
              <w:t>7.000.000,00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67F6C9DC" w14:textId="77777777" w:rsidR="00C442DB" w:rsidRPr="00C442DB" w:rsidRDefault="00C442DB" w:rsidP="00C442DB">
            <w:pPr>
              <w:jc w:val="right"/>
              <w:rPr>
                <w:rFonts w:ascii="Calibri" w:hAnsi="Calibri"/>
                <w:sz w:val="16"/>
                <w:szCs w:val="16"/>
              </w:rPr>
            </w:pPr>
            <w:r w:rsidRPr="00C442DB">
              <w:rPr>
                <w:rFonts w:ascii="Calibri" w:hAnsi="Calibri"/>
                <w:sz w:val="16"/>
                <w:szCs w:val="16"/>
              </w:rPr>
              <w:t>70.000</w:t>
            </w:r>
          </w:p>
        </w:tc>
        <w:tc>
          <w:tcPr>
            <w:tcW w:w="996" w:type="dxa"/>
            <w:tcBorders>
              <w:top w:val="nil"/>
              <w:left w:val="nil"/>
              <w:bottom w:val="single" w:sz="4" w:space="0" w:color="auto"/>
              <w:right w:val="single" w:sz="4" w:space="0" w:color="auto"/>
            </w:tcBorders>
            <w:shd w:val="clear" w:color="auto" w:fill="auto"/>
            <w:noWrap/>
            <w:vAlign w:val="bottom"/>
            <w:hideMark/>
          </w:tcPr>
          <w:p w14:paraId="01AAF915"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w:t>
            </w:r>
          </w:p>
        </w:tc>
        <w:tc>
          <w:tcPr>
            <w:tcW w:w="855" w:type="dxa"/>
            <w:tcBorders>
              <w:top w:val="nil"/>
              <w:left w:val="nil"/>
              <w:bottom w:val="single" w:sz="4" w:space="0" w:color="auto"/>
              <w:right w:val="single" w:sz="4" w:space="0" w:color="auto"/>
            </w:tcBorders>
            <w:shd w:val="clear" w:color="auto" w:fill="auto"/>
            <w:noWrap/>
            <w:vAlign w:val="bottom"/>
            <w:hideMark/>
          </w:tcPr>
          <w:p w14:paraId="17224D49" w14:textId="77777777" w:rsidR="00C442DB" w:rsidRPr="00C442DB" w:rsidRDefault="00C442DB" w:rsidP="00C442DB">
            <w:pPr>
              <w:jc w:val="right"/>
              <w:rPr>
                <w:rFonts w:ascii="Calibri" w:hAnsi="Calibri"/>
                <w:sz w:val="16"/>
                <w:szCs w:val="16"/>
              </w:rPr>
            </w:pPr>
            <w:r w:rsidRPr="00C442DB">
              <w:rPr>
                <w:rFonts w:ascii="Calibri" w:hAnsi="Calibri"/>
                <w:sz w:val="16"/>
                <w:szCs w:val="16"/>
              </w:rPr>
              <w:t>5,15%</w:t>
            </w:r>
          </w:p>
        </w:tc>
        <w:tc>
          <w:tcPr>
            <w:tcW w:w="995" w:type="dxa"/>
            <w:tcBorders>
              <w:top w:val="nil"/>
              <w:left w:val="nil"/>
              <w:bottom w:val="single" w:sz="4" w:space="0" w:color="auto"/>
              <w:right w:val="single" w:sz="4" w:space="0" w:color="auto"/>
            </w:tcBorders>
            <w:shd w:val="clear" w:color="auto" w:fill="auto"/>
            <w:noWrap/>
            <w:vAlign w:val="bottom"/>
            <w:hideMark/>
          </w:tcPr>
          <w:p w14:paraId="19FB94E8"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638C5947"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1A49E032" w14:textId="77777777" w:rsidR="00C442DB" w:rsidRPr="00C442DB" w:rsidRDefault="00C442DB" w:rsidP="00C442DB">
            <w:pPr>
              <w:jc w:val="left"/>
              <w:rPr>
                <w:rFonts w:ascii="Calibri" w:hAnsi="Calibri"/>
                <w:sz w:val="16"/>
                <w:szCs w:val="16"/>
              </w:rPr>
            </w:pPr>
            <w:r w:rsidRPr="00C442DB">
              <w:rPr>
                <w:rFonts w:ascii="Calibri" w:hAnsi="Calibri"/>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F2AAB1E"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 </w:t>
            </w:r>
          </w:p>
        </w:tc>
      </w:tr>
      <w:tr w:rsidR="002A24EC" w:rsidRPr="00C442DB" w14:paraId="5251771E" w14:textId="77777777" w:rsidTr="002A24EC">
        <w:trPr>
          <w:trHeight w:val="720"/>
        </w:trPr>
        <w:tc>
          <w:tcPr>
            <w:tcW w:w="545"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7E06C05B" w14:textId="77777777" w:rsidR="002A24EC" w:rsidRPr="00C442DB" w:rsidRDefault="002A24EC" w:rsidP="00CE1CD0">
            <w:pPr>
              <w:jc w:val="center"/>
              <w:rPr>
                <w:rFonts w:ascii="Calibri" w:hAnsi="Calibri"/>
                <w:b/>
                <w:bCs/>
                <w:sz w:val="16"/>
                <w:szCs w:val="16"/>
              </w:rPr>
            </w:pPr>
            <w:r w:rsidRPr="00C442DB">
              <w:rPr>
                <w:rFonts w:ascii="Calibri" w:hAnsi="Calibri"/>
                <w:b/>
                <w:bCs/>
                <w:sz w:val="16"/>
                <w:szCs w:val="16"/>
              </w:rPr>
              <w:lastRenderedPageBreak/>
              <w:t xml:space="preserve">RED. </w:t>
            </w:r>
            <w:r>
              <w:rPr>
                <w:rFonts w:ascii="Calibri" w:hAnsi="Calibri"/>
                <w:b/>
                <w:bCs/>
                <w:sz w:val="16"/>
                <w:szCs w:val="16"/>
              </w:rPr>
              <w:t>BR</w:t>
            </w:r>
          </w:p>
        </w:tc>
        <w:tc>
          <w:tcPr>
            <w:tcW w:w="993" w:type="dxa"/>
            <w:tcBorders>
              <w:top w:val="single" w:sz="4" w:space="0" w:color="auto"/>
              <w:left w:val="nil"/>
              <w:bottom w:val="single" w:sz="4" w:space="0" w:color="auto"/>
              <w:right w:val="single" w:sz="4" w:space="0" w:color="auto"/>
            </w:tcBorders>
            <w:shd w:val="clear" w:color="000000" w:fill="8DB4E2"/>
            <w:vAlign w:val="center"/>
            <w:hideMark/>
          </w:tcPr>
          <w:p w14:paraId="640E521A" w14:textId="77777777" w:rsidR="002A24EC" w:rsidRPr="00C442DB" w:rsidRDefault="002A24EC" w:rsidP="00CE1CD0">
            <w:pPr>
              <w:jc w:val="center"/>
              <w:rPr>
                <w:rFonts w:ascii="Calibri" w:hAnsi="Calibri"/>
                <w:b/>
                <w:bCs/>
                <w:sz w:val="16"/>
                <w:szCs w:val="16"/>
              </w:rPr>
            </w:pPr>
            <w:r>
              <w:rPr>
                <w:rFonts w:ascii="Calibri" w:hAnsi="Calibri"/>
                <w:b/>
                <w:bCs/>
                <w:sz w:val="16"/>
                <w:szCs w:val="16"/>
              </w:rPr>
              <w:t>OZNAKA HOV</w:t>
            </w:r>
          </w:p>
        </w:tc>
        <w:tc>
          <w:tcPr>
            <w:tcW w:w="1122" w:type="dxa"/>
            <w:gridSpan w:val="3"/>
            <w:tcBorders>
              <w:top w:val="single" w:sz="4" w:space="0" w:color="auto"/>
              <w:left w:val="nil"/>
              <w:bottom w:val="single" w:sz="4" w:space="0" w:color="auto"/>
              <w:right w:val="single" w:sz="4" w:space="0" w:color="auto"/>
            </w:tcBorders>
            <w:shd w:val="clear" w:color="000000" w:fill="8DB4E2"/>
            <w:noWrap/>
            <w:vAlign w:val="center"/>
            <w:hideMark/>
          </w:tcPr>
          <w:p w14:paraId="147090C8" w14:textId="77777777" w:rsidR="002A24EC" w:rsidRPr="00C442DB" w:rsidRDefault="002A24EC" w:rsidP="00CE1CD0">
            <w:pPr>
              <w:jc w:val="center"/>
              <w:rPr>
                <w:rFonts w:ascii="Calibri" w:hAnsi="Calibri"/>
                <w:b/>
                <w:bCs/>
                <w:sz w:val="16"/>
                <w:szCs w:val="16"/>
              </w:rPr>
            </w:pPr>
            <w:r w:rsidRPr="00C442DB">
              <w:rPr>
                <w:rFonts w:ascii="Calibri" w:hAnsi="Calibri"/>
                <w:b/>
                <w:bCs/>
                <w:sz w:val="16"/>
                <w:szCs w:val="16"/>
              </w:rPr>
              <w:t>IZNOS EMISIJE</w:t>
            </w:r>
          </w:p>
        </w:tc>
        <w:tc>
          <w:tcPr>
            <w:tcW w:w="895" w:type="dxa"/>
            <w:gridSpan w:val="2"/>
            <w:tcBorders>
              <w:top w:val="single" w:sz="4" w:space="0" w:color="auto"/>
              <w:left w:val="nil"/>
              <w:bottom w:val="single" w:sz="4" w:space="0" w:color="auto"/>
              <w:right w:val="single" w:sz="4" w:space="0" w:color="auto"/>
            </w:tcBorders>
            <w:shd w:val="clear" w:color="000000" w:fill="8DB4E2"/>
            <w:vAlign w:val="center"/>
            <w:hideMark/>
          </w:tcPr>
          <w:p w14:paraId="3D6EFA42" w14:textId="77777777" w:rsidR="002A24EC" w:rsidRPr="00C442DB" w:rsidRDefault="002A24EC" w:rsidP="00CE1CD0">
            <w:pPr>
              <w:jc w:val="center"/>
              <w:rPr>
                <w:rFonts w:ascii="Calibri" w:hAnsi="Calibri"/>
                <w:b/>
                <w:bCs/>
                <w:sz w:val="16"/>
                <w:szCs w:val="16"/>
              </w:rPr>
            </w:pPr>
            <w:r w:rsidRPr="00C442DB">
              <w:rPr>
                <w:rFonts w:ascii="Calibri" w:hAnsi="Calibri"/>
                <w:b/>
                <w:bCs/>
                <w:sz w:val="16"/>
                <w:szCs w:val="16"/>
              </w:rPr>
              <w:t>BROJ OBVEZNICA</w:t>
            </w:r>
          </w:p>
        </w:tc>
        <w:tc>
          <w:tcPr>
            <w:tcW w:w="996" w:type="dxa"/>
            <w:tcBorders>
              <w:top w:val="single" w:sz="4" w:space="0" w:color="auto"/>
              <w:left w:val="nil"/>
              <w:bottom w:val="single" w:sz="4" w:space="0" w:color="auto"/>
              <w:right w:val="single" w:sz="4" w:space="0" w:color="auto"/>
            </w:tcBorders>
            <w:shd w:val="clear" w:color="000000" w:fill="8DB4E2"/>
            <w:vAlign w:val="center"/>
            <w:hideMark/>
          </w:tcPr>
          <w:p w14:paraId="65839941" w14:textId="77777777" w:rsidR="002A24EC" w:rsidRPr="00C442DB" w:rsidRDefault="002A24EC" w:rsidP="00CE1CD0">
            <w:pPr>
              <w:jc w:val="center"/>
              <w:rPr>
                <w:rFonts w:ascii="Calibri" w:hAnsi="Calibri"/>
                <w:b/>
                <w:bCs/>
                <w:sz w:val="16"/>
                <w:szCs w:val="16"/>
              </w:rPr>
            </w:pPr>
            <w:r w:rsidRPr="00C442DB">
              <w:rPr>
                <w:rFonts w:ascii="Calibri" w:hAnsi="Calibri"/>
                <w:b/>
                <w:bCs/>
                <w:sz w:val="16"/>
                <w:szCs w:val="16"/>
              </w:rPr>
              <w:t>KUPLJENI IZNOS</w:t>
            </w:r>
          </w:p>
        </w:tc>
        <w:tc>
          <w:tcPr>
            <w:tcW w:w="855" w:type="dxa"/>
            <w:tcBorders>
              <w:top w:val="single" w:sz="4" w:space="0" w:color="auto"/>
              <w:left w:val="nil"/>
              <w:bottom w:val="single" w:sz="4" w:space="0" w:color="auto"/>
              <w:right w:val="single" w:sz="4" w:space="0" w:color="auto"/>
            </w:tcBorders>
            <w:shd w:val="clear" w:color="000000" w:fill="8DB4E2"/>
            <w:vAlign w:val="center"/>
            <w:hideMark/>
          </w:tcPr>
          <w:p w14:paraId="049B464E" w14:textId="77777777" w:rsidR="002A24EC" w:rsidRPr="00C442DB" w:rsidRDefault="002A24EC" w:rsidP="00CE1CD0">
            <w:pPr>
              <w:jc w:val="center"/>
              <w:rPr>
                <w:rFonts w:ascii="Calibri" w:hAnsi="Calibri"/>
                <w:b/>
                <w:bCs/>
                <w:sz w:val="16"/>
                <w:szCs w:val="16"/>
              </w:rPr>
            </w:pPr>
            <w:r w:rsidRPr="00C442DB">
              <w:rPr>
                <w:rFonts w:ascii="Calibri" w:hAnsi="Calibri"/>
                <w:b/>
                <w:bCs/>
                <w:sz w:val="16"/>
                <w:szCs w:val="16"/>
              </w:rPr>
              <w:t>KAMATNA STOPA</w:t>
            </w:r>
          </w:p>
        </w:tc>
        <w:tc>
          <w:tcPr>
            <w:tcW w:w="995" w:type="dxa"/>
            <w:tcBorders>
              <w:top w:val="single" w:sz="4" w:space="0" w:color="auto"/>
              <w:left w:val="nil"/>
              <w:bottom w:val="single" w:sz="4" w:space="0" w:color="auto"/>
              <w:right w:val="single" w:sz="4" w:space="0" w:color="auto"/>
            </w:tcBorders>
            <w:shd w:val="clear" w:color="000000" w:fill="8DB4E2"/>
            <w:vAlign w:val="center"/>
            <w:hideMark/>
          </w:tcPr>
          <w:p w14:paraId="53E4E332" w14:textId="77777777" w:rsidR="002A24EC" w:rsidRPr="00C442DB" w:rsidRDefault="002A24EC" w:rsidP="00CE1CD0">
            <w:pPr>
              <w:jc w:val="center"/>
              <w:rPr>
                <w:rFonts w:ascii="Calibri" w:hAnsi="Calibri"/>
                <w:b/>
                <w:bCs/>
                <w:sz w:val="16"/>
                <w:szCs w:val="16"/>
              </w:rPr>
            </w:pPr>
            <w:r>
              <w:rPr>
                <w:rFonts w:ascii="Calibri" w:hAnsi="Calibri"/>
                <w:b/>
                <w:bCs/>
                <w:sz w:val="16"/>
                <w:szCs w:val="16"/>
              </w:rPr>
              <w:t>STANJE NA DAN 31.12.2023</w:t>
            </w:r>
          </w:p>
        </w:tc>
        <w:tc>
          <w:tcPr>
            <w:tcW w:w="878" w:type="dxa"/>
            <w:gridSpan w:val="2"/>
            <w:tcBorders>
              <w:top w:val="single" w:sz="4" w:space="0" w:color="auto"/>
              <w:left w:val="nil"/>
              <w:bottom w:val="single" w:sz="4" w:space="0" w:color="auto"/>
              <w:right w:val="single" w:sz="4" w:space="0" w:color="auto"/>
            </w:tcBorders>
            <w:shd w:val="clear" w:color="000000" w:fill="8DB4E2"/>
            <w:noWrap/>
            <w:vAlign w:val="center"/>
            <w:hideMark/>
          </w:tcPr>
          <w:p w14:paraId="0EECCC3C" w14:textId="77777777" w:rsidR="002A24EC" w:rsidRPr="00C442DB" w:rsidRDefault="002A24EC" w:rsidP="00CE1CD0">
            <w:pPr>
              <w:jc w:val="center"/>
              <w:rPr>
                <w:rFonts w:ascii="Calibri" w:hAnsi="Calibri"/>
                <w:b/>
                <w:bCs/>
                <w:sz w:val="16"/>
                <w:szCs w:val="16"/>
              </w:rPr>
            </w:pPr>
            <w:r>
              <w:rPr>
                <w:rFonts w:ascii="Calibri" w:hAnsi="Calibri"/>
                <w:b/>
                <w:bCs/>
                <w:sz w:val="16"/>
                <w:szCs w:val="16"/>
              </w:rPr>
              <w:t>KAPITALISANJE</w:t>
            </w:r>
          </w:p>
        </w:tc>
        <w:tc>
          <w:tcPr>
            <w:tcW w:w="995" w:type="dxa"/>
            <w:gridSpan w:val="2"/>
            <w:tcBorders>
              <w:top w:val="single" w:sz="4" w:space="0" w:color="auto"/>
              <w:left w:val="nil"/>
              <w:bottom w:val="single" w:sz="4" w:space="0" w:color="auto"/>
              <w:right w:val="single" w:sz="4" w:space="0" w:color="auto"/>
            </w:tcBorders>
            <w:shd w:val="clear" w:color="000000" w:fill="8DB4E2"/>
            <w:vAlign w:val="center"/>
            <w:hideMark/>
          </w:tcPr>
          <w:p w14:paraId="2D63CFD2" w14:textId="77777777" w:rsidR="002A24EC" w:rsidRPr="00C442DB" w:rsidRDefault="002A24EC" w:rsidP="00CE1CD0">
            <w:pPr>
              <w:ind w:right="-71"/>
              <w:jc w:val="center"/>
              <w:rPr>
                <w:rFonts w:ascii="Calibri" w:hAnsi="Calibri"/>
                <w:b/>
                <w:bCs/>
                <w:sz w:val="16"/>
                <w:szCs w:val="16"/>
              </w:rPr>
            </w:pPr>
            <w:r w:rsidRPr="00C442DB">
              <w:rPr>
                <w:rFonts w:ascii="Calibri" w:hAnsi="Calibri"/>
                <w:b/>
                <w:bCs/>
                <w:sz w:val="16"/>
                <w:szCs w:val="16"/>
              </w:rPr>
              <w:t>DATUM DOSPIJEĆA</w:t>
            </w:r>
          </w:p>
        </w:tc>
        <w:tc>
          <w:tcPr>
            <w:tcW w:w="842" w:type="dxa"/>
            <w:tcBorders>
              <w:top w:val="single" w:sz="4" w:space="0" w:color="auto"/>
              <w:left w:val="nil"/>
              <w:bottom w:val="single" w:sz="4" w:space="0" w:color="auto"/>
              <w:right w:val="single" w:sz="4" w:space="0" w:color="auto"/>
            </w:tcBorders>
            <w:shd w:val="clear" w:color="000000" w:fill="8DB4E2"/>
            <w:vAlign w:val="center"/>
            <w:hideMark/>
          </w:tcPr>
          <w:p w14:paraId="692883B4" w14:textId="77777777" w:rsidR="002A24EC" w:rsidRPr="00C442DB" w:rsidRDefault="002A24EC" w:rsidP="00CE1CD0">
            <w:pPr>
              <w:ind w:left="-145" w:right="-61"/>
              <w:jc w:val="center"/>
              <w:rPr>
                <w:rFonts w:ascii="Calibri" w:hAnsi="Calibri"/>
                <w:b/>
                <w:bCs/>
                <w:sz w:val="16"/>
                <w:szCs w:val="16"/>
              </w:rPr>
            </w:pPr>
            <w:r w:rsidRPr="00C442DB">
              <w:rPr>
                <w:rFonts w:ascii="Calibri" w:hAnsi="Calibri"/>
                <w:b/>
                <w:bCs/>
                <w:sz w:val="16"/>
                <w:szCs w:val="16"/>
              </w:rPr>
              <w:t>DATUM DOSPIJEĆA KUPONA</w:t>
            </w:r>
          </w:p>
        </w:tc>
      </w:tr>
      <w:tr w:rsidR="00C442DB" w:rsidRPr="00C442DB" w14:paraId="10D315BF" w14:textId="77777777" w:rsidTr="002A24EC">
        <w:trPr>
          <w:trHeight w:val="345"/>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0EA79D78" w14:textId="77777777" w:rsidR="00C442DB" w:rsidRPr="00C442DB" w:rsidRDefault="00C442DB" w:rsidP="00C442DB">
            <w:pPr>
              <w:jc w:val="center"/>
              <w:rPr>
                <w:rFonts w:ascii="Calibri" w:hAnsi="Calibri"/>
                <w:sz w:val="16"/>
                <w:szCs w:val="16"/>
              </w:rPr>
            </w:pPr>
            <w:r w:rsidRPr="00C442DB">
              <w:rPr>
                <w:rFonts w:ascii="Calibri" w:hAnsi="Calibri"/>
                <w:sz w:val="16"/>
                <w:szCs w:val="16"/>
              </w:rPr>
              <w:t>26</w:t>
            </w:r>
          </w:p>
        </w:tc>
        <w:tc>
          <w:tcPr>
            <w:tcW w:w="999" w:type="dxa"/>
            <w:gridSpan w:val="2"/>
            <w:tcBorders>
              <w:top w:val="nil"/>
              <w:left w:val="nil"/>
              <w:bottom w:val="single" w:sz="4" w:space="0" w:color="auto"/>
              <w:right w:val="single" w:sz="4" w:space="0" w:color="auto"/>
            </w:tcBorders>
            <w:shd w:val="clear" w:color="auto" w:fill="auto"/>
            <w:noWrap/>
            <w:vAlign w:val="bottom"/>
            <w:hideMark/>
          </w:tcPr>
          <w:p w14:paraId="4F50B8BE" w14:textId="5F81A609" w:rsidR="00C442DB" w:rsidRPr="00C442DB" w:rsidRDefault="00C442DB" w:rsidP="00C442DB">
            <w:pPr>
              <w:jc w:val="left"/>
              <w:rPr>
                <w:rFonts w:ascii="Calibri" w:hAnsi="Calibri"/>
                <w:sz w:val="16"/>
                <w:szCs w:val="16"/>
              </w:rPr>
            </w:pPr>
            <w:r w:rsidRPr="00C442DB">
              <w:rPr>
                <w:rFonts w:ascii="Calibri" w:hAnsi="Calibri"/>
                <w:sz w:val="16"/>
                <w:szCs w:val="16"/>
              </w:rPr>
              <w:t>TRRF-O-D MKDTaurus B luka</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66CC3B0C"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14:paraId="44021606" w14:textId="77777777" w:rsidR="00C442DB" w:rsidRPr="00C442DB" w:rsidRDefault="00C442DB" w:rsidP="00C442DB">
            <w:pPr>
              <w:jc w:val="right"/>
              <w:rPr>
                <w:rFonts w:ascii="Calibri" w:hAnsi="Calibri"/>
                <w:sz w:val="16"/>
                <w:szCs w:val="16"/>
              </w:rPr>
            </w:pPr>
            <w:r w:rsidRPr="00C442DB">
              <w:rPr>
                <w:rFonts w:ascii="Calibri" w:hAnsi="Calibri"/>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14:paraId="1F13B5C7"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55" w:type="dxa"/>
            <w:tcBorders>
              <w:top w:val="nil"/>
              <w:left w:val="nil"/>
              <w:bottom w:val="single" w:sz="4" w:space="0" w:color="auto"/>
              <w:right w:val="single" w:sz="4" w:space="0" w:color="auto"/>
            </w:tcBorders>
            <w:shd w:val="clear" w:color="auto" w:fill="auto"/>
            <w:noWrap/>
            <w:vAlign w:val="bottom"/>
            <w:hideMark/>
          </w:tcPr>
          <w:p w14:paraId="523165B7" w14:textId="77777777" w:rsidR="00C442DB" w:rsidRPr="00C442DB" w:rsidRDefault="00C442DB" w:rsidP="00C442DB">
            <w:pPr>
              <w:jc w:val="right"/>
              <w:rPr>
                <w:rFonts w:ascii="Calibri" w:hAnsi="Calibri"/>
                <w:sz w:val="16"/>
                <w:szCs w:val="16"/>
              </w:rPr>
            </w:pPr>
            <w:r w:rsidRPr="00C442DB">
              <w:rPr>
                <w:rFonts w:ascii="Calibri" w:hAnsi="Calibri"/>
                <w:sz w:val="16"/>
                <w:szCs w:val="16"/>
              </w:rPr>
              <w:t>6,50%</w:t>
            </w:r>
          </w:p>
        </w:tc>
        <w:tc>
          <w:tcPr>
            <w:tcW w:w="995" w:type="dxa"/>
            <w:tcBorders>
              <w:top w:val="nil"/>
              <w:left w:val="nil"/>
              <w:bottom w:val="single" w:sz="4" w:space="0" w:color="auto"/>
              <w:right w:val="single" w:sz="4" w:space="0" w:color="auto"/>
            </w:tcBorders>
            <w:shd w:val="clear" w:color="auto" w:fill="auto"/>
            <w:noWrap/>
            <w:vAlign w:val="bottom"/>
            <w:hideMark/>
          </w:tcPr>
          <w:p w14:paraId="4C17EFD4" w14:textId="77777777" w:rsidR="00C442DB" w:rsidRPr="00C442DB" w:rsidRDefault="00C442DB" w:rsidP="00C442DB">
            <w:pPr>
              <w:jc w:val="right"/>
              <w:rPr>
                <w:rFonts w:ascii="Calibri" w:hAnsi="Calibri"/>
                <w:sz w:val="16"/>
                <w:szCs w:val="16"/>
              </w:rPr>
            </w:pPr>
            <w:r w:rsidRPr="00C442DB">
              <w:rPr>
                <w:rFonts w:ascii="Calibri" w:hAnsi="Calibri"/>
                <w:sz w:val="16"/>
                <w:szCs w:val="16"/>
              </w:rPr>
              <w:t>87.047,80</w:t>
            </w:r>
          </w:p>
        </w:tc>
        <w:tc>
          <w:tcPr>
            <w:tcW w:w="878" w:type="dxa"/>
            <w:gridSpan w:val="2"/>
            <w:tcBorders>
              <w:top w:val="nil"/>
              <w:left w:val="nil"/>
              <w:bottom w:val="single" w:sz="4" w:space="0" w:color="auto"/>
              <w:right w:val="single" w:sz="4" w:space="0" w:color="auto"/>
            </w:tcBorders>
            <w:shd w:val="clear" w:color="auto" w:fill="auto"/>
            <w:noWrap/>
            <w:vAlign w:val="bottom"/>
            <w:hideMark/>
          </w:tcPr>
          <w:p w14:paraId="4D586365"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nil"/>
              <w:left w:val="nil"/>
              <w:bottom w:val="single" w:sz="4" w:space="0" w:color="auto"/>
              <w:right w:val="single" w:sz="4" w:space="0" w:color="auto"/>
            </w:tcBorders>
            <w:shd w:val="clear" w:color="auto" w:fill="auto"/>
            <w:noWrap/>
            <w:vAlign w:val="bottom"/>
            <w:hideMark/>
          </w:tcPr>
          <w:p w14:paraId="52E9E931" w14:textId="77777777" w:rsidR="00C442DB" w:rsidRPr="00C442DB" w:rsidRDefault="00C442DB" w:rsidP="00C442DB">
            <w:pPr>
              <w:jc w:val="right"/>
              <w:rPr>
                <w:rFonts w:ascii="Calibri" w:hAnsi="Calibri"/>
                <w:sz w:val="16"/>
                <w:szCs w:val="16"/>
              </w:rPr>
            </w:pPr>
            <w:r w:rsidRPr="00C442DB">
              <w:rPr>
                <w:rFonts w:ascii="Calibri" w:hAnsi="Calibri"/>
                <w:sz w:val="16"/>
                <w:szCs w:val="16"/>
              </w:rPr>
              <w:t>29.09.2026</w:t>
            </w:r>
          </w:p>
        </w:tc>
        <w:tc>
          <w:tcPr>
            <w:tcW w:w="842" w:type="dxa"/>
            <w:tcBorders>
              <w:top w:val="nil"/>
              <w:left w:val="nil"/>
              <w:bottom w:val="single" w:sz="4" w:space="0" w:color="auto"/>
              <w:right w:val="single" w:sz="4" w:space="0" w:color="auto"/>
            </w:tcBorders>
            <w:shd w:val="clear" w:color="auto" w:fill="auto"/>
            <w:noWrap/>
            <w:vAlign w:val="bottom"/>
            <w:hideMark/>
          </w:tcPr>
          <w:p w14:paraId="72A3CBEC"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29.09.2023</w:t>
            </w:r>
          </w:p>
        </w:tc>
      </w:tr>
      <w:tr w:rsidR="00C442DB" w:rsidRPr="00C442DB" w14:paraId="07963B33" w14:textId="77777777" w:rsidTr="002A24EC">
        <w:trPr>
          <w:trHeight w:val="315"/>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6015A" w14:textId="77777777" w:rsidR="00C442DB" w:rsidRPr="00C442DB" w:rsidRDefault="00C442DB" w:rsidP="00C442DB">
            <w:pPr>
              <w:jc w:val="center"/>
              <w:rPr>
                <w:rFonts w:ascii="Calibri" w:hAnsi="Calibri"/>
                <w:sz w:val="16"/>
                <w:szCs w:val="16"/>
              </w:rPr>
            </w:pPr>
            <w:r w:rsidRPr="00C442DB">
              <w:rPr>
                <w:rFonts w:ascii="Calibri" w:hAnsi="Calibri"/>
                <w:sz w:val="16"/>
                <w:szCs w:val="16"/>
              </w:rPr>
              <w:t>27</w:t>
            </w:r>
          </w:p>
        </w:tc>
        <w:tc>
          <w:tcPr>
            <w:tcW w:w="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E9FAD" w14:textId="77777777" w:rsidR="00C442DB" w:rsidRPr="00C442DB" w:rsidRDefault="00C442DB" w:rsidP="00C442DB">
            <w:pPr>
              <w:jc w:val="left"/>
              <w:rPr>
                <w:rFonts w:ascii="Calibri" w:hAnsi="Calibri"/>
                <w:sz w:val="16"/>
                <w:szCs w:val="16"/>
              </w:rPr>
            </w:pPr>
            <w:r w:rsidRPr="00C442DB">
              <w:rPr>
                <w:rFonts w:ascii="Calibri" w:hAnsi="Calibri"/>
                <w:sz w:val="16"/>
                <w:szCs w:val="16"/>
              </w:rPr>
              <w:t>TRRF-PO3 MKD Bik</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0A2B6"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2.000.000,00</w:t>
            </w:r>
          </w:p>
        </w:tc>
        <w:tc>
          <w:tcPr>
            <w:tcW w:w="8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F0B6A" w14:textId="77777777" w:rsidR="00C442DB" w:rsidRPr="00C442DB" w:rsidRDefault="00C442DB" w:rsidP="00C442DB">
            <w:pPr>
              <w:jc w:val="right"/>
              <w:rPr>
                <w:rFonts w:ascii="Calibri" w:hAnsi="Calibri"/>
                <w:sz w:val="16"/>
                <w:szCs w:val="16"/>
              </w:rPr>
            </w:pPr>
            <w:r w:rsidRPr="00C442DB">
              <w:rPr>
                <w:rFonts w:ascii="Calibri" w:hAnsi="Calibri"/>
                <w:sz w:val="16"/>
                <w:szCs w:val="16"/>
              </w:rPr>
              <w:t>100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5BF8A"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20FC3" w14:textId="77777777" w:rsidR="00C442DB" w:rsidRPr="00C442DB" w:rsidRDefault="00C442DB" w:rsidP="00C442DB">
            <w:pPr>
              <w:jc w:val="right"/>
              <w:rPr>
                <w:rFonts w:ascii="Calibri" w:hAnsi="Calibri"/>
                <w:sz w:val="16"/>
                <w:szCs w:val="16"/>
              </w:rPr>
            </w:pPr>
            <w:r w:rsidRPr="00C442DB">
              <w:rPr>
                <w:rFonts w:ascii="Calibri" w:hAnsi="Calibri"/>
                <w:sz w:val="16"/>
                <w:szCs w:val="16"/>
              </w:rPr>
              <w:t>6,70%</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384C8" w14:textId="77777777" w:rsidR="00C442DB" w:rsidRPr="00C442DB" w:rsidRDefault="00C442DB" w:rsidP="00C442DB">
            <w:pPr>
              <w:jc w:val="right"/>
              <w:rPr>
                <w:rFonts w:ascii="Calibri" w:hAnsi="Calibri"/>
                <w:sz w:val="16"/>
                <w:szCs w:val="16"/>
              </w:rPr>
            </w:pPr>
            <w:r w:rsidRPr="00C442DB">
              <w:rPr>
                <w:rFonts w:ascii="Calibri" w:hAnsi="Calibri"/>
                <w:sz w:val="16"/>
                <w:szCs w:val="16"/>
              </w:rPr>
              <w:t>100.000,00</w:t>
            </w: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9B76F" w14:textId="77777777" w:rsidR="00C442DB" w:rsidRPr="00C442DB" w:rsidRDefault="00C442DB" w:rsidP="00C442DB">
            <w:pPr>
              <w:jc w:val="left"/>
              <w:rPr>
                <w:rFonts w:ascii="Calibri" w:hAnsi="Calibri"/>
                <w:sz w:val="16"/>
                <w:szCs w:val="16"/>
              </w:rPr>
            </w:pPr>
            <w:r w:rsidRPr="00C442DB">
              <w:rPr>
                <w:rFonts w:ascii="Calibri" w:hAnsi="Calibri"/>
                <w:sz w:val="16"/>
                <w:szCs w:val="16"/>
              </w:rPr>
              <w:t>Polugodišnje</w:t>
            </w:r>
          </w:p>
        </w:tc>
        <w:tc>
          <w:tcPr>
            <w:tcW w:w="9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F01CE" w14:textId="77777777" w:rsidR="00C442DB" w:rsidRPr="00C442DB" w:rsidRDefault="00C442DB" w:rsidP="00C442DB">
            <w:pPr>
              <w:jc w:val="left"/>
              <w:rPr>
                <w:rFonts w:ascii="Calibri" w:hAnsi="Calibri"/>
                <w:sz w:val="16"/>
                <w:szCs w:val="16"/>
              </w:rPr>
            </w:pPr>
            <w:r w:rsidRPr="00C442DB">
              <w:rPr>
                <w:rFonts w:ascii="Calibri" w:hAnsi="Calibri"/>
                <w:sz w:val="16"/>
                <w:szCs w:val="16"/>
              </w:rPr>
              <w:t> </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505A4" w14:textId="77777777" w:rsidR="00C442DB" w:rsidRPr="00C442DB" w:rsidRDefault="00C442DB" w:rsidP="00AF0599">
            <w:pPr>
              <w:ind w:left="-145" w:right="-108"/>
              <w:jc w:val="center"/>
              <w:rPr>
                <w:rFonts w:ascii="Calibri" w:hAnsi="Calibri"/>
                <w:sz w:val="16"/>
                <w:szCs w:val="16"/>
              </w:rPr>
            </w:pPr>
            <w:r w:rsidRPr="00C442DB">
              <w:rPr>
                <w:rFonts w:ascii="Calibri" w:hAnsi="Calibri"/>
                <w:sz w:val="16"/>
                <w:szCs w:val="16"/>
              </w:rPr>
              <w:t> </w:t>
            </w:r>
          </w:p>
        </w:tc>
      </w:tr>
      <w:tr w:rsidR="00C442DB" w:rsidRPr="00C442DB" w14:paraId="27D71517" w14:textId="77777777" w:rsidTr="002A24EC">
        <w:trPr>
          <w:trHeight w:val="315"/>
        </w:trPr>
        <w:tc>
          <w:tcPr>
            <w:tcW w:w="3555" w:type="dxa"/>
            <w:gridSpan w:val="7"/>
            <w:tcBorders>
              <w:top w:val="single" w:sz="4" w:space="0" w:color="auto"/>
              <w:left w:val="single" w:sz="4" w:space="0" w:color="auto"/>
              <w:bottom w:val="single" w:sz="4" w:space="0" w:color="auto"/>
              <w:right w:val="single" w:sz="4" w:space="0" w:color="000000"/>
            </w:tcBorders>
            <w:shd w:val="clear" w:color="000000" w:fill="C5D9F1"/>
            <w:vAlign w:val="center"/>
            <w:hideMark/>
          </w:tcPr>
          <w:p w14:paraId="2969C61B"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UKUPNO HOV FINANSIJSKIH INSITITUCIJA (11)</w:t>
            </w:r>
          </w:p>
        </w:tc>
        <w:tc>
          <w:tcPr>
            <w:tcW w:w="996" w:type="dxa"/>
            <w:tcBorders>
              <w:top w:val="single" w:sz="4" w:space="0" w:color="auto"/>
              <w:left w:val="nil"/>
              <w:bottom w:val="single" w:sz="4" w:space="0" w:color="auto"/>
              <w:right w:val="single" w:sz="4" w:space="0" w:color="auto"/>
            </w:tcBorders>
            <w:shd w:val="clear" w:color="000000" w:fill="C5D9F1"/>
            <w:noWrap/>
            <w:vAlign w:val="center"/>
            <w:hideMark/>
          </w:tcPr>
          <w:p w14:paraId="59E1C496" w14:textId="77777777" w:rsidR="00C442DB" w:rsidRPr="00C442DB" w:rsidRDefault="00C442DB" w:rsidP="00AF0599">
            <w:pPr>
              <w:ind w:right="-108"/>
              <w:jc w:val="right"/>
              <w:rPr>
                <w:rFonts w:ascii="Calibri" w:hAnsi="Calibri"/>
                <w:b/>
                <w:bCs/>
                <w:sz w:val="16"/>
                <w:szCs w:val="16"/>
              </w:rPr>
            </w:pPr>
            <w:r w:rsidRPr="00C442DB">
              <w:rPr>
                <w:rFonts w:ascii="Calibri" w:hAnsi="Calibri"/>
                <w:b/>
                <w:bCs/>
                <w:sz w:val="16"/>
                <w:szCs w:val="16"/>
              </w:rPr>
              <w:t>2.156.000,00</w:t>
            </w:r>
          </w:p>
        </w:tc>
        <w:tc>
          <w:tcPr>
            <w:tcW w:w="855" w:type="dxa"/>
            <w:tcBorders>
              <w:top w:val="single" w:sz="4" w:space="0" w:color="auto"/>
              <w:left w:val="nil"/>
              <w:bottom w:val="single" w:sz="4" w:space="0" w:color="auto"/>
              <w:right w:val="single" w:sz="4" w:space="0" w:color="auto"/>
            </w:tcBorders>
            <w:shd w:val="clear" w:color="000000" w:fill="C5D9F1"/>
            <w:noWrap/>
            <w:vAlign w:val="center"/>
            <w:hideMark/>
          </w:tcPr>
          <w:p w14:paraId="453F92F9"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3710" w:type="dxa"/>
            <w:gridSpan w:val="6"/>
            <w:tcBorders>
              <w:top w:val="single" w:sz="4" w:space="0" w:color="auto"/>
              <w:left w:val="nil"/>
              <w:bottom w:val="single" w:sz="4" w:space="0" w:color="auto"/>
              <w:right w:val="single" w:sz="4" w:space="0" w:color="auto"/>
            </w:tcBorders>
            <w:shd w:val="clear" w:color="000000" w:fill="C5D9F1"/>
            <w:noWrap/>
            <w:vAlign w:val="center"/>
            <w:hideMark/>
          </w:tcPr>
          <w:p w14:paraId="32F62430" w14:textId="77777777" w:rsidR="00C442DB" w:rsidRPr="00C442DB" w:rsidRDefault="00C442DB" w:rsidP="00C442DB">
            <w:pPr>
              <w:ind w:right="-108"/>
              <w:jc w:val="right"/>
              <w:rPr>
                <w:rFonts w:ascii="Calibri" w:hAnsi="Calibri"/>
                <w:b/>
                <w:bCs/>
                <w:sz w:val="16"/>
                <w:szCs w:val="16"/>
              </w:rPr>
            </w:pPr>
            <w:r w:rsidRPr="00C442DB">
              <w:rPr>
                <w:rFonts w:ascii="Calibri" w:hAnsi="Calibri"/>
                <w:b/>
                <w:bCs/>
                <w:sz w:val="16"/>
                <w:szCs w:val="16"/>
              </w:rPr>
              <w:t>1.770.202,27</w:t>
            </w:r>
          </w:p>
        </w:tc>
      </w:tr>
      <w:tr w:rsidR="00C442DB" w:rsidRPr="00C442DB" w14:paraId="184C08B6"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0150CA0F" w14:textId="65817AE2" w:rsidR="00C442DB" w:rsidRPr="00C442DB" w:rsidRDefault="002A24EC" w:rsidP="00C442DB">
            <w:pPr>
              <w:jc w:val="center"/>
              <w:rPr>
                <w:rFonts w:ascii="Calibri" w:hAnsi="Calibri"/>
                <w:sz w:val="16"/>
                <w:szCs w:val="16"/>
              </w:rPr>
            </w:pPr>
            <w:r>
              <w:rPr>
                <w:rFonts w:ascii="Calibri" w:hAnsi="Calibri"/>
                <w:sz w:val="16"/>
                <w:szCs w:val="16"/>
              </w:rPr>
              <w:t>28</w:t>
            </w:r>
          </w:p>
        </w:tc>
        <w:tc>
          <w:tcPr>
            <w:tcW w:w="1011" w:type="dxa"/>
            <w:gridSpan w:val="3"/>
            <w:tcBorders>
              <w:top w:val="nil"/>
              <w:left w:val="nil"/>
              <w:bottom w:val="single" w:sz="4" w:space="0" w:color="auto"/>
              <w:right w:val="single" w:sz="4" w:space="0" w:color="auto"/>
            </w:tcBorders>
            <w:shd w:val="clear" w:color="auto" w:fill="auto"/>
            <w:noWrap/>
            <w:vAlign w:val="bottom"/>
            <w:hideMark/>
          </w:tcPr>
          <w:p w14:paraId="1364457E" w14:textId="77777777" w:rsidR="00C442DB" w:rsidRPr="00C442DB" w:rsidRDefault="00C442DB" w:rsidP="00C442DB">
            <w:pPr>
              <w:jc w:val="left"/>
              <w:rPr>
                <w:rFonts w:ascii="Calibri" w:hAnsi="Calibri"/>
                <w:sz w:val="16"/>
                <w:szCs w:val="16"/>
              </w:rPr>
            </w:pPr>
            <w:r w:rsidRPr="00C442DB">
              <w:rPr>
                <w:rFonts w:ascii="Calibri" w:hAnsi="Calibri"/>
                <w:sz w:val="16"/>
                <w:szCs w:val="16"/>
              </w:rPr>
              <w:t>VDVS-O-A Vodovod Srbac</w:t>
            </w:r>
          </w:p>
        </w:tc>
        <w:tc>
          <w:tcPr>
            <w:tcW w:w="1125" w:type="dxa"/>
            <w:gridSpan w:val="2"/>
            <w:tcBorders>
              <w:top w:val="nil"/>
              <w:left w:val="nil"/>
              <w:bottom w:val="single" w:sz="4" w:space="0" w:color="auto"/>
              <w:right w:val="single" w:sz="4" w:space="0" w:color="auto"/>
            </w:tcBorders>
            <w:shd w:val="clear" w:color="auto" w:fill="auto"/>
            <w:noWrap/>
            <w:vAlign w:val="bottom"/>
            <w:hideMark/>
          </w:tcPr>
          <w:p w14:paraId="08CAB46A" w14:textId="77777777" w:rsidR="00C442DB" w:rsidRPr="00C442DB" w:rsidRDefault="00C442DB" w:rsidP="00C442DB">
            <w:pPr>
              <w:jc w:val="right"/>
              <w:rPr>
                <w:rFonts w:ascii="Calibri" w:hAnsi="Calibri"/>
                <w:sz w:val="16"/>
                <w:szCs w:val="16"/>
              </w:rPr>
            </w:pPr>
            <w:r w:rsidRPr="00C442DB">
              <w:rPr>
                <w:rFonts w:ascii="Calibri" w:hAnsi="Calibri"/>
                <w:sz w:val="16"/>
                <w:szCs w:val="16"/>
              </w:rPr>
              <w:t>1.250.000,00</w:t>
            </w:r>
          </w:p>
        </w:tc>
        <w:tc>
          <w:tcPr>
            <w:tcW w:w="874" w:type="dxa"/>
            <w:tcBorders>
              <w:top w:val="nil"/>
              <w:left w:val="nil"/>
              <w:bottom w:val="single" w:sz="4" w:space="0" w:color="auto"/>
              <w:right w:val="single" w:sz="4" w:space="0" w:color="auto"/>
            </w:tcBorders>
            <w:shd w:val="clear" w:color="000000" w:fill="FFFFFF"/>
            <w:noWrap/>
            <w:vAlign w:val="bottom"/>
            <w:hideMark/>
          </w:tcPr>
          <w:p w14:paraId="637809FB" w14:textId="77777777" w:rsidR="00C442DB" w:rsidRPr="00C442DB" w:rsidRDefault="00C442DB" w:rsidP="00C442DB">
            <w:pPr>
              <w:jc w:val="right"/>
              <w:rPr>
                <w:rFonts w:ascii="Calibri" w:hAnsi="Calibri"/>
                <w:sz w:val="16"/>
                <w:szCs w:val="16"/>
              </w:rPr>
            </w:pPr>
            <w:r w:rsidRPr="00C442DB">
              <w:rPr>
                <w:rFonts w:ascii="Calibri" w:hAnsi="Calibri"/>
                <w:sz w:val="16"/>
                <w:szCs w:val="16"/>
              </w:rPr>
              <w:t>2.500</w:t>
            </w:r>
          </w:p>
        </w:tc>
        <w:tc>
          <w:tcPr>
            <w:tcW w:w="996" w:type="dxa"/>
            <w:tcBorders>
              <w:top w:val="nil"/>
              <w:left w:val="nil"/>
              <w:bottom w:val="single" w:sz="4" w:space="0" w:color="auto"/>
              <w:right w:val="single" w:sz="4" w:space="0" w:color="auto"/>
            </w:tcBorders>
            <w:shd w:val="clear" w:color="auto" w:fill="auto"/>
            <w:noWrap/>
            <w:vAlign w:val="bottom"/>
            <w:hideMark/>
          </w:tcPr>
          <w:p w14:paraId="0F23BE9C" w14:textId="77777777" w:rsidR="00C442DB" w:rsidRPr="00C442DB" w:rsidRDefault="00C442DB" w:rsidP="00C442DB">
            <w:pPr>
              <w:jc w:val="right"/>
              <w:rPr>
                <w:rFonts w:ascii="Calibri" w:hAnsi="Calibri"/>
                <w:sz w:val="16"/>
                <w:szCs w:val="16"/>
              </w:rPr>
            </w:pPr>
            <w:r w:rsidRPr="00C442DB">
              <w:rPr>
                <w:rFonts w:ascii="Calibri" w:hAnsi="Calibri"/>
                <w:sz w:val="16"/>
                <w:szCs w:val="16"/>
              </w:rPr>
              <w:t>250.000,00</w:t>
            </w:r>
          </w:p>
        </w:tc>
        <w:tc>
          <w:tcPr>
            <w:tcW w:w="855" w:type="dxa"/>
            <w:tcBorders>
              <w:top w:val="nil"/>
              <w:left w:val="nil"/>
              <w:bottom w:val="single" w:sz="4" w:space="0" w:color="auto"/>
              <w:right w:val="single" w:sz="4" w:space="0" w:color="auto"/>
            </w:tcBorders>
            <w:shd w:val="clear" w:color="auto" w:fill="auto"/>
            <w:noWrap/>
            <w:vAlign w:val="bottom"/>
            <w:hideMark/>
          </w:tcPr>
          <w:p w14:paraId="69542F5A" w14:textId="77777777" w:rsidR="00C442DB" w:rsidRPr="00C442DB" w:rsidRDefault="00C442DB" w:rsidP="00C442DB">
            <w:pPr>
              <w:jc w:val="right"/>
              <w:rPr>
                <w:rFonts w:ascii="Calibri" w:hAnsi="Calibri"/>
                <w:sz w:val="16"/>
                <w:szCs w:val="16"/>
              </w:rPr>
            </w:pPr>
            <w:r w:rsidRPr="00C442DB">
              <w:rPr>
                <w:rFonts w:ascii="Calibri" w:hAnsi="Calibri"/>
                <w:sz w:val="16"/>
                <w:szCs w:val="16"/>
              </w:rPr>
              <w:t>5,00%</w:t>
            </w:r>
          </w:p>
        </w:tc>
        <w:tc>
          <w:tcPr>
            <w:tcW w:w="995" w:type="dxa"/>
            <w:tcBorders>
              <w:top w:val="nil"/>
              <w:left w:val="nil"/>
              <w:bottom w:val="single" w:sz="4" w:space="0" w:color="auto"/>
              <w:right w:val="single" w:sz="4" w:space="0" w:color="auto"/>
            </w:tcBorders>
            <w:shd w:val="clear" w:color="auto" w:fill="auto"/>
            <w:noWrap/>
            <w:vAlign w:val="bottom"/>
            <w:hideMark/>
          </w:tcPr>
          <w:p w14:paraId="5DA970E0" w14:textId="77777777" w:rsidR="00C442DB" w:rsidRPr="00C442DB" w:rsidRDefault="00C442DB" w:rsidP="00C442DB">
            <w:pPr>
              <w:jc w:val="right"/>
              <w:rPr>
                <w:rFonts w:ascii="Calibri" w:hAnsi="Calibri"/>
                <w:sz w:val="16"/>
                <w:szCs w:val="16"/>
              </w:rPr>
            </w:pPr>
            <w:r w:rsidRPr="00C442DB">
              <w:rPr>
                <w:rFonts w:ascii="Calibri" w:hAnsi="Calibri"/>
                <w:sz w:val="16"/>
                <w:szCs w:val="16"/>
              </w:rPr>
              <w:t>183.860,34</w:t>
            </w:r>
          </w:p>
        </w:tc>
        <w:tc>
          <w:tcPr>
            <w:tcW w:w="854" w:type="dxa"/>
            <w:tcBorders>
              <w:top w:val="nil"/>
              <w:left w:val="nil"/>
              <w:bottom w:val="single" w:sz="4" w:space="0" w:color="auto"/>
              <w:right w:val="single" w:sz="4" w:space="0" w:color="auto"/>
            </w:tcBorders>
            <w:shd w:val="clear" w:color="auto" w:fill="auto"/>
            <w:noWrap/>
            <w:vAlign w:val="bottom"/>
            <w:hideMark/>
          </w:tcPr>
          <w:p w14:paraId="485C31C4"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13EE17BA" w14:textId="77777777" w:rsidR="00C442DB" w:rsidRPr="00C442DB" w:rsidRDefault="00C442DB" w:rsidP="00C442DB">
            <w:pPr>
              <w:jc w:val="left"/>
              <w:rPr>
                <w:rFonts w:ascii="Calibri" w:hAnsi="Calibri"/>
                <w:sz w:val="16"/>
                <w:szCs w:val="16"/>
              </w:rPr>
            </w:pPr>
            <w:r w:rsidRPr="00C442DB">
              <w:rPr>
                <w:rFonts w:ascii="Calibri" w:hAnsi="Calibri"/>
                <w:sz w:val="16"/>
                <w:szCs w:val="16"/>
              </w:rPr>
              <w:t>15.10.2030.</w:t>
            </w:r>
          </w:p>
        </w:tc>
        <w:tc>
          <w:tcPr>
            <w:tcW w:w="866" w:type="dxa"/>
            <w:gridSpan w:val="2"/>
            <w:tcBorders>
              <w:top w:val="nil"/>
              <w:left w:val="nil"/>
              <w:bottom w:val="single" w:sz="4" w:space="0" w:color="auto"/>
              <w:right w:val="single" w:sz="4" w:space="0" w:color="auto"/>
            </w:tcBorders>
            <w:shd w:val="clear" w:color="auto" w:fill="auto"/>
            <w:noWrap/>
            <w:vAlign w:val="bottom"/>
            <w:hideMark/>
          </w:tcPr>
          <w:p w14:paraId="30110726" w14:textId="77777777" w:rsidR="00C442DB" w:rsidRPr="00C442DB" w:rsidRDefault="00C442DB" w:rsidP="00C442DB">
            <w:pPr>
              <w:ind w:right="-108"/>
              <w:jc w:val="center"/>
              <w:rPr>
                <w:rFonts w:ascii="Calibri" w:hAnsi="Calibri"/>
                <w:sz w:val="16"/>
                <w:szCs w:val="16"/>
              </w:rPr>
            </w:pPr>
            <w:r w:rsidRPr="00C442DB">
              <w:rPr>
                <w:rFonts w:ascii="Calibri" w:hAnsi="Calibri"/>
                <w:sz w:val="16"/>
                <w:szCs w:val="16"/>
              </w:rPr>
              <w:t>15.08.2023.</w:t>
            </w:r>
          </w:p>
        </w:tc>
      </w:tr>
      <w:tr w:rsidR="00C442DB" w:rsidRPr="00C442DB" w14:paraId="711D4A8E" w14:textId="77777777" w:rsidTr="002A24EC">
        <w:trPr>
          <w:trHeight w:val="3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37F6E1AB" w14:textId="4A9093F2" w:rsidR="00C442DB" w:rsidRPr="00C442DB" w:rsidRDefault="002A24EC" w:rsidP="00C442DB">
            <w:pPr>
              <w:jc w:val="center"/>
              <w:rPr>
                <w:rFonts w:ascii="Calibri" w:hAnsi="Calibri"/>
                <w:sz w:val="16"/>
                <w:szCs w:val="16"/>
              </w:rPr>
            </w:pPr>
            <w:r>
              <w:rPr>
                <w:rFonts w:ascii="Calibri" w:hAnsi="Calibri"/>
                <w:sz w:val="16"/>
                <w:szCs w:val="16"/>
              </w:rPr>
              <w:t>29</w:t>
            </w:r>
          </w:p>
        </w:tc>
        <w:tc>
          <w:tcPr>
            <w:tcW w:w="1011" w:type="dxa"/>
            <w:gridSpan w:val="3"/>
            <w:tcBorders>
              <w:top w:val="nil"/>
              <w:left w:val="nil"/>
              <w:bottom w:val="single" w:sz="4" w:space="0" w:color="auto"/>
              <w:right w:val="single" w:sz="4" w:space="0" w:color="auto"/>
            </w:tcBorders>
            <w:shd w:val="clear" w:color="auto" w:fill="auto"/>
            <w:noWrap/>
            <w:vAlign w:val="bottom"/>
            <w:hideMark/>
          </w:tcPr>
          <w:p w14:paraId="153C35C4" w14:textId="77777777" w:rsidR="00C442DB" w:rsidRPr="00C442DB" w:rsidRDefault="00C442DB" w:rsidP="00C442DB">
            <w:pPr>
              <w:jc w:val="left"/>
              <w:rPr>
                <w:rFonts w:ascii="Calibri" w:hAnsi="Calibri"/>
                <w:sz w:val="16"/>
                <w:szCs w:val="16"/>
              </w:rPr>
            </w:pPr>
            <w:r w:rsidRPr="00C442DB">
              <w:rPr>
                <w:rFonts w:ascii="Calibri" w:hAnsi="Calibri"/>
                <w:sz w:val="16"/>
                <w:szCs w:val="16"/>
              </w:rPr>
              <w:t>KMSR-O-A Komunalac  Srbac</w:t>
            </w:r>
          </w:p>
        </w:tc>
        <w:tc>
          <w:tcPr>
            <w:tcW w:w="1125" w:type="dxa"/>
            <w:gridSpan w:val="2"/>
            <w:tcBorders>
              <w:top w:val="nil"/>
              <w:left w:val="nil"/>
              <w:bottom w:val="single" w:sz="4" w:space="0" w:color="auto"/>
              <w:right w:val="single" w:sz="4" w:space="0" w:color="auto"/>
            </w:tcBorders>
            <w:shd w:val="clear" w:color="auto" w:fill="auto"/>
            <w:noWrap/>
            <w:vAlign w:val="bottom"/>
            <w:hideMark/>
          </w:tcPr>
          <w:p w14:paraId="41E74F1C" w14:textId="77777777" w:rsidR="00C442DB" w:rsidRPr="00C442DB" w:rsidRDefault="00C442DB" w:rsidP="00C442DB">
            <w:pPr>
              <w:jc w:val="right"/>
              <w:rPr>
                <w:rFonts w:ascii="Calibri" w:hAnsi="Calibri"/>
                <w:sz w:val="16"/>
                <w:szCs w:val="16"/>
              </w:rPr>
            </w:pPr>
            <w:r w:rsidRPr="00C442DB">
              <w:rPr>
                <w:rFonts w:ascii="Calibri" w:hAnsi="Calibri"/>
                <w:sz w:val="16"/>
                <w:szCs w:val="16"/>
              </w:rPr>
              <w:t>410.000,00</w:t>
            </w:r>
          </w:p>
        </w:tc>
        <w:tc>
          <w:tcPr>
            <w:tcW w:w="874" w:type="dxa"/>
            <w:tcBorders>
              <w:top w:val="nil"/>
              <w:left w:val="nil"/>
              <w:bottom w:val="single" w:sz="4" w:space="0" w:color="auto"/>
              <w:right w:val="single" w:sz="4" w:space="0" w:color="auto"/>
            </w:tcBorders>
            <w:shd w:val="clear" w:color="000000" w:fill="FFFFFF"/>
            <w:noWrap/>
            <w:vAlign w:val="bottom"/>
            <w:hideMark/>
          </w:tcPr>
          <w:p w14:paraId="61D2B3C5" w14:textId="77777777" w:rsidR="00C442DB" w:rsidRPr="00C442DB" w:rsidRDefault="00C442DB" w:rsidP="00C442DB">
            <w:pPr>
              <w:jc w:val="right"/>
              <w:rPr>
                <w:rFonts w:ascii="Calibri" w:hAnsi="Calibri"/>
                <w:sz w:val="16"/>
                <w:szCs w:val="16"/>
              </w:rPr>
            </w:pPr>
            <w:r w:rsidRPr="00C442DB">
              <w:rPr>
                <w:rFonts w:ascii="Calibri" w:hAnsi="Calibri"/>
                <w:sz w:val="16"/>
                <w:szCs w:val="16"/>
              </w:rPr>
              <w:t>2.000</w:t>
            </w:r>
          </w:p>
        </w:tc>
        <w:tc>
          <w:tcPr>
            <w:tcW w:w="996" w:type="dxa"/>
            <w:tcBorders>
              <w:top w:val="nil"/>
              <w:left w:val="nil"/>
              <w:bottom w:val="single" w:sz="4" w:space="0" w:color="auto"/>
              <w:right w:val="single" w:sz="4" w:space="0" w:color="auto"/>
            </w:tcBorders>
            <w:shd w:val="clear" w:color="auto" w:fill="auto"/>
            <w:noWrap/>
            <w:vAlign w:val="bottom"/>
            <w:hideMark/>
          </w:tcPr>
          <w:p w14:paraId="6B477B29" w14:textId="77777777" w:rsidR="00C442DB" w:rsidRPr="00C442DB" w:rsidRDefault="00C442DB" w:rsidP="00C442DB">
            <w:pPr>
              <w:jc w:val="right"/>
              <w:rPr>
                <w:rFonts w:ascii="Calibri" w:hAnsi="Calibri"/>
                <w:sz w:val="16"/>
                <w:szCs w:val="16"/>
              </w:rPr>
            </w:pPr>
            <w:r w:rsidRPr="00C442DB">
              <w:rPr>
                <w:rFonts w:ascii="Calibri" w:hAnsi="Calibri"/>
                <w:sz w:val="16"/>
                <w:szCs w:val="16"/>
              </w:rPr>
              <w:t>200.000,00</w:t>
            </w:r>
          </w:p>
        </w:tc>
        <w:tc>
          <w:tcPr>
            <w:tcW w:w="855" w:type="dxa"/>
            <w:tcBorders>
              <w:top w:val="nil"/>
              <w:left w:val="nil"/>
              <w:bottom w:val="single" w:sz="4" w:space="0" w:color="auto"/>
              <w:right w:val="single" w:sz="4" w:space="0" w:color="auto"/>
            </w:tcBorders>
            <w:shd w:val="clear" w:color="auto" w:fill="auto"/>
            <w:noWrap/>
            <w:vAlign w:val="bottom"/>
            <w:hideMark/>
          </w:tcPr>
          <w:p w14:paraId="304CB1A2" w14:textId="77777777" w:rsidR="00C442DB" w:rsidRPr="00C442DB" w:rsidRDefault="00C442DB" w:rsidP="00C442DB">
            <w:pPr>
              <w:jc w:val="right"/>
              <w:rPr>
                <w:rFonts w:ascii="Calibri" w:hAnsi="Calibri"/>
                <w:sz w:val="16"/>
                <w:szCs w:val="16"/>
              </w:rPr>
            </w:pPr>
            <w:r w:rsidRPr="00C442DB">
              <w:rPr>
                <w:rFonts w:ascii="Calibri" w:hAnsi="Calibri"/>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14:paraId="09475053" w14:textId="77777777" w:rsidR="00C442DB" w:rsidRPr="00C442DB" w:rsidRDefault="00C442DB" w:rsidP="00C442DB">
            <w:pPr>
              <w:jc w:val="right"/>
              <w:rPr>
                <w:rFonts w:ascii="Calibri" w:hAnsi="Calibri"/>
                <w:sz w:val="16"/>
                <w:szCs w:val="16"/>
              </w:rPr>
            </w:pPr>
            <w:r w:rsidRPr="00C442DB">
              <w:rPr>
                <w:rFonts w:ascii="Calibri" w:hAnsi="Calibri"/>
                <w:sz w:val="16"/>
                <w:szCs w:val="16"/>
              </w:rPr>
              <w:t>146.090,77</w:t>
            </w:r>
          </w:p>
        </w:tc>
        <w:tc>
          <w:tcPr>
            <w:tcW w:w="854" w:type="dxa"/>
            <w:tcBorders>
              <w:top w:val="nil"/>
              <w:left w:val="nil"/>
              <w:bottom w:val="single" w:sz="4" w:space="0" w:color="auto"/>
              <w:right w:val="single" w:sz="4" w:space="0" w:color="auto"/>
            </w:tcBorders>
            <w:shd w:val="clear" w:color="auto" w:fill="auto"/>
            <w:noWrap/>
            <w:vAlign w:val="bottom"/>
            <w:hideMark/>
          </w:tcPr>
          <w:p w14:paraId="0FE123AC" w14:textId="77777777" w:rsidR="00C442DB" w:rsidRPr="00C442DB" w:rsidRDefault="00C442DB" w:rsidP="00C442DB">
            <w:pPr>
              <w:jc w:val="left"/>
              <w:rPr>
                <w:rFonts w:ascii="Calibri" w:hAnsi="Calibri"/>
                <w:sz w:val="16"/>
                <w:szCs w:val="16"/>
              </w:rPr>
            </w:pPr>
            <w:r w:rsidRPr="00C442DB">
              <w:rPr>
                <w:rFonts w:ascii="Calibri" w:hAnsi="Calibri"/>
                <w:sz w:val="16"/>
                <w:szCs w:val="16"/>
              </w:rPr>
              <w:t xml:space="preserve">Mesečno </w:t>
            </w:r>
          </w:p>
        </w:tc>
        <w:tc>
          <w:tcPr>
            <w:tcW w:w="995" w:type="dxa"/>
            <w:gridSpan w:val="2"/>
            <w:tcBorders>
              <w:top w:val="nil"/>
              <w:left w:val="nil"/>
              <w:bottom w:val="single" w:sz="4" w:space="0" w:color="auto"/>
              <w:right w:val="single" w:sz="4" w:space="0" w:color="auto"/>
            </w:tcBorders>
            <w:shd w:val="clear" w:color="000000" w:fill="FFFFFF"/>
            <w:noWrap/>
            <w:vAlign w:val="bottom"/>
            <w:hideMark/>
          </w:tcPr>
          <w:p w14:paraId="4B2234B5" w14:textId="77777777" w:rsidR="00C442DB" w:rsidRPr="00C442DB" w:rsidRDefault="00C442DB" w:rsidP="00C442DB">
            <w:pPr>
              <w:jc w:val="left"/>
              <w:rPr>
                <w:rFonts w:ascii="Calibri" w:hAnsi="Calibri"/>
                <w:sz w:val="16"/>
                <w:szCs w:val="16"/>
              </w:rPr>
            </w:pPr>
            <w:r w:rsidRPr="00C442DB">
              <w:rPr>
                <w:rFonts w:ascii="Calibri" w:hAnsi="Calibri"/>
                <w:sz w:val="16"/>
                <w:szCs w:val="16"/>
              </w:rPr>
              <w:t>01.10.2031.</w:t>
            </w:r>
          </w:p>
        </w:tc>
        <w:tc>
          <w:tcPr>
            <w:tcW w:w="866" w:type="dxa"/>
            <w:gridSpan w:val="2"/>
            <w:tcBorders>
              <w:top w:val="nil"/>
              <w:left w:val="nil"/>
              <w:bottom w:val="single" w:sz="4" w:space="0" w:color="auto"/>
              <w:right w:val="single" w:sz="4" w:space="0" w:color="auto"/>
            </w:tcBorders>
            <w:shd w:val="clear" w:color="auto" w:fill="auto"/>
            <w:noWrap/>
            <w:vAlign w:val="bottom"/>
            <w:hideMark/>
          </w:tcPr>
          <w:p w14:paraId="7A4CD892" w14:textId="77777777" w:rsidR="00C442DB" w:rsidRPr="00C442DB" w:rsidRDefault="00C442DB" w:rsidP="00C442DB">
            <w:pPr>
              <w:ind w:right="-108"/>
              <w:jc w:val="center"/>
              <w:rPr>
                <w:rFonts w:ascii="Calibri" w:hAnsi="Calibri"/>
                <w:sz w:val="16"/>
                <w:szCs w:val="16"/>
              </w:rPr>
            </w:pPr>
            <w:r w:rsidRPr="00C442DB">
              <w:rPr>
                <w:rFonts w:ascii="Calibri" w:hAnsi="Calibri"/>
                <w:sz w:val="16"/>
                <w:szCs w:val="16"/>
              </w:rPr>
              <w:t>01.08.2023.</w:t>
            </w:r>
          </w:p>
        </w:tc>
      </w:tr>
      <w:tr w:rsidR="00C442DB" w:rsidRPr="00C442DB" w14:paraId="7C5EB11E" w14:textId="77777777" w:rsidTr="002A24EC">
        <w:trPr>
          <w:trHeight w:val="315"/>
        </w:trPr>
        <w:tc>
          <w:tcPr>
            <w:tcW w:w="3555" w:type="dxa"/>
            <w:gridSpan w:val="7"/>
            <w:tcBorders>
              <w:top w:val="single" w:sz="4" w:space="0" w:color="auto"/>
              <w:left w:val="single" w:sz="4" w:space="0" w:color="auto"/>
              <w:bottom w:val="single" w:sz="4" w:space="0" w:color="auto"/>
              <w:right w:val="single" w:sz="4" w:space="0" w:color="000000"/>
            </w:tcBorders>
            <w:shd w:val="clear" w:color="000000" w:fill="C5D9F1"/>
            <w:vAlign w:val="center"/>
            <w:hideMark/>
          </w:tcPr>
          <w:p w14:paraId="0BC20A9F"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 xml:space="preserve">UKUPNO HOV PRIVREDNIH DRUŠTAVA (2) </w:t>
            </w:r>
          </w:p>
        </w:tc>
        <w:tc>
          <w:tcPr>
            <w:tcW w:w="996" w:type="dxa"/>
            <w:tcBorders>
              <w:top w:val="nil"/>
              <w:left w:val="nil"/>
              <w:bottom w:val="single" w:sz="4" w:space="0" w:color="auto"/>
              <w:right w:val="single" w:sz="4" w:space="0" w:color="auto"/>
            </w:tcBorders>
            <w:shd w:val="clear" w:color="000000" w:fill="C5D9F1"/>
            <w:noWrap/>
            <w:vAlign w:val="center"/>
            <w:hideMark/>
          </w:tcPr>
          <w:p w14:paraId="2E1E31EE" w14:textId="77777777" w:rsidR="00C442DB" w:rsidRPr="00C442DB" w:rsidRDefault="00C442DB" w:rsidP="00C442DB">
            <w:pPr>
              <w:jc w:val="right"/>
              <w:rPr>
                <w:rFonts w:ascii="Calibri" w:hAnsi="Calibri"/>
                <w:b/>
                <w:bCs/>
                <w:sz w:val="16"/>
                <w:szCs w:val="16"/>
              </w:rPr>
            </w:pPr>
            <w:r w:rsidRPr="00C442DB">
              <w:rPr>
                <w:rFonts w:ascii="Calibri" w:hAnsi="Calibri"/>
                <w:b/>
                <w:bCs/>
                <w:sz w:val="16"/>
                <w:szCs w:val="16"/>
              </w:rPr>
              <w:t>450.000,00</w:t>
            </w:r>
          </w:p>
        </w:tc>
        <w:tc>
          <w:tcPr>
            <w:tcW w:w="855" w:type="dxa"/>
            <w:tcBorders>
              <w:top w:val="nil"/>
              <w:left w:val="nil"/>
              <w:bottom w:val="single" w:sz="4" w:space="0" w:color="auto"/>
              <w:right w:val="single" w:sz="4" w:space="0" w:color="auto"/>
            </w:tcBorders>
            <w:shd w:val="clear" w:color="000000" w:fill="C5D9F1"/>
            <w:noWrap/>
            <w:vAlign w:val="center"/>
            <w:hideMark/>
          </w:tcPr>
          <w:p w14:paraId="576E4BD4"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tcBorders>
              <w:top w:val="nil"/>
              <w:left w:val="nil"/>
              <w:bottom w:val="single" w:sz="4" w:space="0" w:color="auto"/>
              <w:right w:val="single" w:sz="4" w:space="0" w:color="auto"/>
            </w:tcBorders>
            <w:shd w:val="clear" w:color="000000" w:fill="C5D9F1"/>
            <w:noWrap/>
            <w:vAlign w:val="center"/>
            <w:hideMark/>
          </w:tcPr>
          <w:p w14:paraId="3D5FF216" w14:textId="77777777" w:rsidR="00C442DB" w:rsidRPr="00C442DB" w:rsidRDefault="00C442DB" w:rsidP="00C442DB">
            <w:pPr>
              <w:jc w:val="right"/>
              <w:rPr>
                <w:rFonts w:ascii="Calibri" w:hAnsi="Calibri"/>
                <w:b/>
                <w:bCs/>
                <w:sz w:val="16"/>
                <w:szCs w:val="16"/>
              </w:rPr>
            </w:pPr>
            <w:r w:rsidRPr="00C442DB">
              <w:rPr>
                <w:rFonts w:ascii="Calibri" w:hAnsi="Calibri"/>
                <w:b/>
                <w:bCs/>
                <w:sz w:val="16"/>
                <w:szCs w:val="16"/>
              </w:rPr>
              <w:t>329.951,11</w:t>
            </w:r>
          </w:p>
        </w:tc>
        <w:tc>
          <w:tcPr>
            <w:tcW w:w="854" w:type="dxa"/>
            <w:tcBorders>
              <w:top w:val="nil"/>
              <w:left w:val="nil"/>
              <w:bottom w:val="single" w:sz="4" w:space="0" w:color="auto"/>
              <w:right w:val="single" w:sz="4" w:space="0" w:color="auto"/>
            </w:tcBorders>
            <w:shd w:val="clear" w:color="000000" w:fill="C5D9F1"/>
            <w:noWrap/>
            <w:vAlign w:val="bottom"/>
            <w:hideMark/>
          </w:tcPr>
          <w:p w14:paraId="24D70950"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gridSpan w:val="2"/>
            <w:tcBorders>
              <w:top w:val="nil"/>
              <w:left w:val="nil"/>
              <w:bottom w:val="single" w:sz="4" w:space="0" w:color="auto"/>
              <w:right w:val="single" w:sz="4" w:space="0" w:color="auto"/>
            </w:tcBorders>
            <w:shd w:val="clear" w:color="000000" w:fill="C5D9F1"/>
            <w:noWrap/>
            <w:vAlign w:val="bottom"/>
            <w:hideMark/>
          </w:tcPr>
          <w:p w14:paraId="688D1B4D"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866" w:type="dxa"/>
            <w:gridSpan w:val="2"/>
            <w:tcBorders>
              <w:top w:val="nil"/>
              <w:left w:val="nil"/>
              <w:bottom w:val="single" w:sz="4" w:space="0" w:color="auto"/>
              <w:right w:val="single" w:sz="4" w:space="0" w:color="auto"/>
            </w:tcBorders>
            <w:shd w:val="clear" w:color="000000" w:fill="C5D9F1"/>
            <w:noWrap/>
            <w:vAlign w:val="bottom"/>
            <w:hideMark/>
          </w:tcPr>
          <w:p w14:paraId="085D3FA1" w14:textId="77777777" w:rsidR="00C442DB" w:rsidRPr="00C442DB" w:rsidRDefault="00C442DB" w:rsidP="00C442DB">
            <w:pPr>
              <w:jc w:val="left"/>
              <w:rPr>
                <w:rFonts w:ascii="Calibri" w:hAnsi="Calibri"/>
                <w:sz w:val="16"/>
                <w:szCs w:val="16"/>
              </w:rPr>
            </w:pPr>
            <w:r w:rsidRPr="00C442DB">
              <w:rPr>
                <w:rFonts w:ascii="Calibri" w:hAnsi="Calibri"/>
                <w:sz w:val="16"/>
                <w:szCs w:val="16"/>
              </w:rPr>
              <w:t> </w:t>
            </w:r>
          </w:p>
        </w:tc>
      </w:tr>
      <w:tr w:rsidR="00C442DB" w:rsidRPr="00C442DB" w14:paraId="288D3989" w14:textId="77777777" w:rsidTr="002A24EC">
        <w:trPr>
          <w:trHeight w:val="315"/>
        </w:trPr>
        <w:tc>
          <w:tcPr>
            <w:tcW w:w="3555" w:type="dxa"/>
            <w:gridSpan w:val="7"/>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57BDBD7D" w14:textId="77777777" w:rsidR="00C442DB" w:rsidRPr="00C442DB" w:rsidRDefault="00C442DB" w:rsidP="00C442DB">
            <w:pPr>
              <w:jc w:val="center"/>
              <w:rPr>
                <w:rFonts w:ascii="Calibri" w:hAnsi="Calibri"/>
                <w:b/>
                <w:bCs/>
                <w:sz w:val="16"/>
                <w:szCs w:val="16"/>
              </w:rPr>
            </w:pPr>
            <w:r w:rsidRPr="00C442DB">
              <w:rPr>
                <w:rFonts w:ascii="Calibri" w:hAnsi="Calibri"/>
                <w:b/>
                <w:bCs/>
                <w:sz w:val="16"/>
                <w:szCs w:val="16"/>
              </w:rPr>
              <w:t xml:space="preserve">TOTALNI HOV </w:t>
            </w:r>
          </w:p>
        </w:tc>
        <w:tc>
          <w:tcPr>
            <w:tcW w:w="996" w:type="dxa"/>
            <w:tcBorders>
              <w:top w:val="nil"/>
              <w:left w:val="nil"/>
              <w:bottom w:val="single" w:sz="4" w:space="0" w:color="auto"/>
              <w:right w:val="single" w:sz="4" w:space="0" w:color="auto"/>
            </w:tcBorders>
            <w:shd w:val="clear" w:color="000000" w:fill="8DB4E2"/>
            <w:noWrap/>
            <w:vAlign w:val="center"/>
            <w:hideMark/>
          </w:tcPr>
          <w:p w14:paraId="251B4C56" w14:textId="77777777" w:rsidR="00C442DB" w:rsidRPr="00C442DB" w:rsidRDefault="00C442DB" w:rsidP="00AF0599">
            <w:pPr>
              <w:ind w:left="-108" w:right="-125" w:firstLine="2"/>
              <w:jc w:val="right"/>
              <w:rPr>
                <w:rFonts w:ascii="Calibri" w:hAnsi="Calibri"/>
                <w:b/>
                <w:bCs/>
                <w:sz w:val="16"/>
                <w:szCs w:val="16"/>
              </w:rPr>
            </w:pPr>
            <w:r w:rsidRPr="00C442DB">
              <w:rPr>
                <w:rFonts w:ascii="Calibri" w:hAnsi="Calibri"/>
                <w:b/>
                <w:bCs/>
                <w:sz w:val="16"/>
                <w:szCs w:val="16"/>
              </w:rPr>
              <w:t>14.013.609,23</w:t>
            </w:r>
          </w:p>
        </w:tc>
        <w:tc>
          <w:tcPr>
            <w:tcW w:w="855" w:type="dxa"/>
            <w:tcBorders>
              <w:top w:val="nil"/>
              <w:left w:val="nil"/>
              <w:bottom w:val="single" w:sz="4" w:space="0" w:color="auto"/>
              <w:right w:val="single" w:sz="4" w:space="0" w:color="auto"/>
            </w:tcBorders>
            <w:shd w:val="clear" w:color="000000" w:fill="8DB4E2"/>
            <w:noWrap/>
            <w:vAlign w:val="center"/>
            <w:hideMark/>
          </w:tcPr>
          <w:p w14:paraId="234C569C" w14:textId="77777777" w:rsidR="00C442DB" w:rsidRPr="00C442DB" w:rsidRDefault="00C442DB" w:rsidP="00C442DB">
            <w:pPr>
              <w:jc w:val="left"/>
              <w:rPr>
                <w:rFonts w:ascii="Calibri" w:hAnsi="Calibri"/>
                <w:b/>
                <w:bCs/>
                <w:sz w:val="16"/>
                <w:szCs w:val="16"/>
              </w:rPr>
            </w:pPr>
            <w:r w:rsidRPr="00C442DB">
              <w:rPr>
                <w:rFonts w:ascii="Calibri" w:hAnsi="Calibri"/>
                <w:b/>
                <w:bCs/>
                <w:sz w:val="16"/>
                <w:szCs w:val="16"/>
              </w:rPr>
              <w:t> </w:t>
            </w:r>
          </w:p>
        </w:tc>
        <w:tc>
          <w:tcPr>
            <w:tcW w:w="995" w:type="dxa"/>
            <w:tcBorders>
              <w:top w:val="nil"/>
              <w:left w:val="nil"/>
              <w:bottom w:val="single" w:sz="4" w:space="0" w:color="auto"/>
              <w:right w:val="single" w:sz="4" w:space="0" w:color="auto"/>
            </w:tcBorders>
            <w:shd w:val="clear" w:color="000000" w:fill="8DB4E2"/>
            <w:noWrap/>
            <w:vAlign w:val="center"/>
            <w:hideMark/>
          </w:tcPr>
          <w:p w14:paraId="42A37092" w14:textId="77777777" w:rsidR="00C442DB" w:rsidRPr="00C442DB" w:rsidRDefault="00C442DB" w:rsidP="00AF0599">
            <w:pPr>
              <w:ind w:left="-95" w:right="-117"/>
              <w:jc w:val="right"/>
              <w:rPr>
                <w:rFonts w:ascii="Calibri" w:hAnsi="Calibri"/>
                <w:b/>
                <w:bCs/>
                <w:sz w:val="16"/>
                <w:szCs w:val="16"/>
              </w:rPr>
            </w:pPr>
            <w:r w:rsidRPr="00C442DB">
              <w:rPr>
                <w:rFonts w:ascii="Calibri" w:hAnsi="Calibri"/>
                <w:b/>
                <w:bCs/>
                <w:sz w:val="16"/>
                <w:szCs w:val="16"/>
              </w:rPr>
              <w:t>11.512.096,34</w:t>
            </w:r>
          </w:p>
        </w:tc>
        <w:tc>
          <w:tcPr>
            <w:tcW w:w="854" w:type="dxa"/>
            <w:tcBorders>
              <w:top w:val="nil"/>
              <w:left w:val="nil"/>
              <w:bottom w:val="single" w:sz="4" w:space="0" w:color="auto"/>
              <w:right w:val="single" w:sz="4" w:space="0" w:color="auto"/>
            </w:tcBorders>
            <w:shd w:val="clear" w:color="000000" w:fill="8DB4E2"/>
            <w:noWrap/>
            <w:vAlign w:val="center"/>
            <w:hideMark/>
          </w:tcPr>
          <w:p w14:paraId="132258F9" w14:textId="77777777" w:rsidR="00C442DB" w:rsidRPr="00C442DB" w:rsidRDefault="00C442DB" w:rsidP="00C442DB">
            <w:pPr>
              <w:jc w:val="left"/>
              <w:rPr>
                <w:rFonts w:ascii="Calibri" w:hAnsi="Calibri"/>
                <w:b/>
                <w:bCs/>
                <w:i/>
                <w:iCs/>
                <w:sz w:val="16"/>
                <w:szCs w:val="16"/>
              </w:rPr>
            </w:pPr>
            <w:r w:rsidRPr="00C442DB">
              <w:rPr>
                <w:rFonts w:ascii="Calibri" w:hAnsi="Calibri"/>
                <w:b/>
                <w:bCs/>
                <w:i/>
                <w:iCs/>
                <w:sz w:val="16"/>
                <w:szCs w:val="16"/>
              </w:rPr>
              <w:t> </w:t>
            </w:r>
          </w:p>
        </w:tc>
        <w:tc>
          <w:tcPr>
            <w:tcW w:w="995" w:type="dxa"/>
            <w:gridSpan w:val="2"/>
            <w:tcBorders>
              <w:top w:val="nil"/>
              <w:left w:val="nil"/>
              <w:bottom w:val="single" w:sz="4" w:space="0" w:color="auto"/>
              <w:right w:val="single" w:sz="4" w:space="0" w:color="auto"/>
            </w:tcBorders>
            <w:shd w:val="clear" w:color="000000" w:fill="8DB4E2"/>
            <w:noWrap/>
            <w:vAlign w:val="center"/>
            <w:hideMark/>
          </w:tcPr>
          <w:p w14:paraId="27BC0A52" w14:textId="77777777" w:rsidR="00C442DB" w:rsidRPr="00C442DB" w:rsidRDefault="00C442DB" w:rsidP="00C442DB">
            <w:pPr>
              <w:jc w:val="left"/>
              <w:rPr>
                <w:rFonts w:ascii="Calibri" w:hAnsi="Calibri"/>
                <w:b/>
                <w:bCs/>
                <w:i/>
                <w:iCs/>
                <w:sz w:val="16"/>
                <w:szCs w:val="16"/>
              </w:rPr>
            </w:pPr>
            <w:r w:rsidRPr="00C442DB">
              <w:rPr>
                <w:rFonts w:ascii="Calibri" w:hAnsi="Calibri"/>
                <w:b/>
                <w:bCs/>
                <w:i/>
                <w:iCs/>
                <w:sz w:val="16"/>
                <w:szCs w:val="16"/>
              </w:rPr>
              <w:t> </w:t>
            </w:r>
          </w:p>
        </w:tc>
        <w:tc>
          <w:tcPr>
            <w:tcW w:w="866" w:type="dxa"/>
            <w:gridSpan w:val="2"/>
            <w:tcBorders>
              <w:top w:val="nil"/>
              <w:left w:val="nil"/>
              <w:bottom w:val="single" w:sz="4" w:space="0" w:color="auto"/>
              <w:right w:val="single" w:sz="4" w:space="0" w:color="auto"/>
            </w:tcBorders>
            <w:shd w:val="clear" w:color="000000" w:fill="8DB4E2"/>
            <w:noWrap/>
            <w:vAlign w:val="center"/>
            <w:hideMark/>
          </w:tcPr>
          <w:p w14:paraId="73E4B8AA" w14:textId="77777777" w:rsidR="00C442DB" w:rsidRPr="00C442DB" w:rsidRDefault="00C442DB" w:rsidP="00C442DB">
            <w:pPr>
              <w:jc w:val="left"/>
              <w:rPr>
                <w:rFonts w:ascii="Calibri" w:hAnsi="Calibri"/>
                <w:b/>
                <w:bCs/>
                <w:i/>
                <w:iCs/>
                <w:sz w:val="16"/>
                <w:szCs w:val="16"/>
              </w:rPr>
            </w:pPr>
            <w:r w:rsidRPr="00C442DB">
              <w:rPr>
                <w:rFonts w:ascii="Calibri" w:hAnsi="Calibri"/>
                <w:b/>
                <w:bCs/>
                <w:i/>
                <w:iCs/>
                <w:sz w:val="16"/>
                <w:szCs w:val="16"/>
              </w:rPr>
              <w:t> </w:t>
            </w:r>
          </w:p>
        </w:tc>
      </w:tr>
    </w:tbl>
    <w:p w14:paraId="74CA4839" w14:textId="77777777" w:rsidR="00170349" w:rsidRDefault="00170349" w:rsidP="001538EF">
      <w:pPr>
        <w:rPr>
          <w:rFonts w:asciiTheme="minorHAnsi" w:eastAsia="Calibri" w:hAnsiTheme="minorHAnsi"/>
          <w:b/>
          <w:color w:val="auto"/>
          <w:sz w:val="20"/>
          <w:szCs w:val="20"/>
          <w:lang w:val="sr-Latn-BA" w:eastAsia="en-US"/>
        </w:rPr>
      </w:pPr>
    </w:p>
    <w:p w14:paraId="47EC0FA0" w14:textId="77777777" w:rsidR="00AF0E64" w:rsidRPr="00AF0E64" w:rsidRDefault="00AF0E64" w:rsidP="001538EF">
      <w:pPr>
        <w:rPr>
          <w:rFonts w:asciiTheme="minorHAnsi" w:hAnsiTheme="minorHAnsi"/>
          <w:sz w:val="20"/>
          <w:szCs w:val="20"/>
          <w:lang w:val="sr-Latn-BA" w:eastAsia="sr-Cyrl-CS"/>
        </w:rPr>
      </w:pPr>
    </w:p>
    <w:p w14:paraId="0F41988A" w14:textId="77777777" w:rsidR="001538EF" w:rsidRPr="005D0BE8" w:rsidRDefault="00E84021" w:rsidP="002E51B0">
      <w:pPr>
        <w:pStyle w:val="Heading1"/>
        <w:numPr>
          <w:ilvl w:val="0"/>
          <w:numId w:val="0"/>
        </w:numPr>
        <w:ind w:left="431" w:hanging="431"/>
        <w:rPr>
          <w:rFonts w:asciiTheme="minorHAnsi" w:hAnsiTheme="minorHAnsi"/>
          <w:lang w:val="sr-Cyrl-RS"/>
        </w:rPr>
      </w:pPr>
      <w:bookmarkStart w:id="19" w:name="_Toc135292180"/>
      <w:r>
        <w:rPr>
          <w:rFonts w:asciiTheme="minorHAnsi" w:hAnsiTheme="minorHAnsi"/>
        </w:rPr>
        <w:t>4 . ANALIZA OSTVARENJA PLANA INVESTICIJA U 2023. GODINI</w:t>
      </w:r>
      <w:bookmarkEnd w:id="19"/>
    </w:p>
    <w:p w14:paraId="628593EA" w14:textId="77777777" w:rsidR="005B6F87" w:rsidRDefault="001538EF" w:rsidP="001538EF">
      <w:pPr>
        <w:rPr>
          <w:rFonts w:asciiTheme="minorHAnsi" w:hAnsiTheme="minorHAnsi"/>
          <w:sz w:val="20"/>
          <w:szCs w:val="20"/>
          <w:lang w:val="sr-Cyrl-CS" w:eastAsia="sr-Cyrl-CS"/>
        </w:rPr>
      </w:pPr>
      <w:r w:rsidRPr="005767EF">
        <w:rPr>
          <w:rFonts w:asciiTheme="minorHAnsi" w:hAnsiTheme="minorHAnsi"/>
          <w:sz w:val="20"/>
          <w:szCs w:val="20"/>
          <w:lang w:eastAsia="sr-Cyrl-CS"/>
        </w:rPr>
        <w:t xml:space="preserve">Plan investicija je sastavni dio plana javnih nabavki za 2023. godinu i rebalansa plana javnih nabavki, a istim su i 2023. godini planirane investicije u iznosu od 36.950,00 KM. Najveći dio planiranih investicija se odnosio na programsku podršku, odnosno ulaganja u nadogradnju softvera i tu postoji značajno odstupanje u odnosu na plan, s obzirom da većina stavki nije realizovana do kraja godine. U programsku podršku, odnosno usluge dorade softvera je investirano 8.979,46 KM, što je 33,32% planiranog iznosa za datu godinu. Realizovane su planirane aktivnosti koje se tiču nadogradnje softvera garancija i nadogradnje softvera sa modulom za kreditni portfelj za energetsku efikasnost. </w:t>
      </w:r>
    </w:p>
    <w:p w14:paraId="3988512C" w14:textId="77777777" w:rsidR="001538EF" w:rsidRDefault="002E51B0" w:rsidP="001538EF">
      <w:pPr>
        <w:rPr>
          <w:rFonts w:asciiTheme="minorHAnsi" w:hAnsiTheme="minorHAnsi"/>
          <w:sz w:val="20"/>
          <w:szCs w:val="20"/>
          <w:lang w:val="sr-Cyrl-BA" w:eastAsia="sr-Cyrl-CS"/>
        </w:rPr>
      </w:pPr>
      <w:r>
        <w:rPr>
          <w:rFonts w:asciiTheme="minorHAnsi" w:hAnsiTheme="minorHAnsi"/>
          <w:sz w:val="20"/>
          <w:szCs w:val="20"/>
          <w:lang w:eastAsia="sr-Cyrl-CS"/>
        </w:rPr>
        <w:t xml:space="preserve">Što se tiče ulaganja u opremu, planirani iznos je premašen, a izvršeno je ulaganje u iznosu od 16.812,67 KM. Navedeno ulaganje se odnosi na računarsku opremu u iznosu od 7.960,04 KM, telefone u iznosu od 7.585,00 KM i nabavku klima uređaja za server salu u iznosu od 1.267,63 KM. </w:t>
      </w:r>
    </w:p>
    <w:p w14:paraId="3D9EE4AB" w14:textId="77777777" w:rsidR="005B6F87" w:rsidRDefault="005B6F87" w:rsidP="001538EF">
      <w:pPr>
        <w:rPr>
          <w:rFonts w:asciiTheme="minorHAnsi" w:hAnsiTheme="minorHAnsi"/>
          <w:sz w:val="20"/>
          <w:szCs w:val="20"/>
          <w:lang w:val="sr-Cyrl-BA" w:eastAsia="sr-Cyrl-CS"/>
        </w:rPr>
      </w:pPr>
      <w:r>
        <w:rPr>
          <w:rFonts w:asciiTheme="minorHAnsi" w:hAnsiTheme="minorHAnsi"/>
          <w:sz w:val="20"/>
          <w:szCs w:val="20"/>
          <w:lang w:eastAsia="sr-Cyrl-CS"/>
        </w:rPr>
        <w:t>Ukupno investirana sredstva u opremu i programsku podršku tokom 2023. godine su iznosila 42.604,80 KM.</w:t>
      </w:r>
    </w:p>
    <w:p w14:paraId="16223850" w14:textId="77777777" w:rsidR="000F6275" w:rsidRDefault="000F6275" w:rsidP="001538EF">
      <w:pPr>
        <w:rPr>
          <w:rFonts w:asciiTheme="minorHAnsi" w:hAnsiTheme="minorHAnsi"/>
          <w:sz w:val="20"/>
          <w:szCs w:val="20"/>
          <w:lang w:val="sr-Latn-BA" w:eastAsia="sr-Cyrl-CS"/>
        </w:rPr>
      </w:pPr>
    </w:p>
    <w:p w14:paraId="083615E8" w14:textId="77777777" w:rsidR="000F6275" w:rsidRPr="000F6275" w:rsidRDefault="000F6275" w:rsidP="001538EF">
      <w:pPr>
        <w:rPr>
          <w:rFonts w:asciiTheme="minorHAnsi" w:hAnsiTheme="minorHAnsi"/>
          <w:sz w:val="20"/>
          <w:szCs w:val="20"/>
          <w:lang w:val="sr-Latn-BA" w:eastAsia="sr-Cyrl-CS"/>
        </w:rPr>
      </w:pPr>
    </w:p>
    <w:p w14:paraId="79F48B03" w14:textId="77777777" w:rsidR="005B6F87" w:rsidRPr="005B6F87" w:rsidRDefault="005B6F87" w:rsidP="005B6F87">
      <w:pPr>
        <w:jc w:val="center"/>
        <w:rPr>
          <w:rFonts w:asciiTheme="minorHAnsi" w:hAnsiTheme="minorHAnsi"/>
          <w:b/>
          <w:sz w:val="20"/>
          <w:szCs w:val="20"/>
          <w:lang w:val="sr-Cyrl-BA" w:eastAsia="sr-Cyrl-CS"/>
        </w:rPr>
      </w:pPr>
      <w:r w:rsidRPr="005B6F87">
        <w:rPr>
          <w:rFonts w:asciiTheme="minorHAnsi" w:hAnsiTheme="minorHAnsi"/>
          <w:b/>
          <w:sz w:val="20"/>
          <w:szCs w:val="20"/>
          <w:lang w:eastAsia="sr-Cyrl-CS"/>
        </w:rPr>
        <w:t>Pregled realizovanih investicija u 2023. godini</w:t>
      </w:r>
    </w:p>
    <w:p w14:paraId="3585DD8A" w14:textId="77777777" w:rsidR="005B6F87" w:rsidRPr="005767EF" w:rsidRDefault="005B6F87" w:rsidP="001538EF">
      <w:pPr>
        <w:rPr>
          <w:rFonts w:asciiTheme="minorHAnsi" w:hAnsiTheme="minorHAnsi"/>
          <w:sz w:val="20"/>
          <w:szCs w:val="20"/>
          <w:lang w:val="sr-Cyrl-BA" w:eastAsia="sr-Cyrl-CS"/>
        </w:rPr>
      </w:pPr>
    </w:p>
    <w:p w14:paraId="6B90BCE4" w14:textId="77777777" w:rsidR="002E51B0" w:rsidRPr="005B6F87" w:rsidRDefault="002E51B0" w:rsidP="005B6F87">
      <w:pPr>
        <w:ind w:left="7799"/>
        <w:rPr>
          <w:rFonts w:asciiTheme="minorHAnsi" w:hAnsiTheme="minorHAnsi"/>
          <w:b/>
          <w:sz w:val="20"/>
          <w:szCs w:val="20"/>
          <w:lang w:val="sr-Cyrl-BA" w:eastAsia="sr-Cyrl-CS"/>
        </w:rPr>
      </w:pPr>
      <w:r>
        <w:rPr>
          <w:rFonts w:asciiTheme="minorHAnsi" w:hAnsiTheme="minorHAnsi"/>
          <w:b/>
          <w:sz w:val="20"/>
          <w:szCs w:val="20"/>
          <w:lang w:eastAsia="sr-Cyrl-CS"/>
        </w:rPr>
        <w:t xml:space="preserve">  Tabela 30</w:t>
      </w:r>
    </w:p>
    <w:tbl>
      <w:tblPr>
        <w:tblW w:w="8804" w:type="dxa"/>
        <w:tblInd w:w="93" w:type="dxa"/>
        <w:tblLook w:val="04A0" w:firstRow="1" w:lastRow="0" w:firstColumn="1" w:lastColumn="0" w:noHBand="0" w:noVBand="1"/>
      </w:tblPr>
      <w:tblGrid>
        <w:gridCol w:w="760"/>
        <w:gridCol w:w="3791"/>
        <w:gridCol w:w="1701"/>
        <w:gridCol w:w="1560"/>
        <w:gridCol w:w="992"/>
      </w:tblGrid>
      <w:tr w:rsidR="002E51B0" w:rsidRPr="002E51B0" w14:paraId="07A745E9" w14:textId="77777777" w:rsidTr="002E51B0">
        <w:trPr>
          <w:trHeight w:val="510"/>
        </w:trPr>
        <w:tc>
          <w:tcPr>
            <w:tcW w:w="760"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AAB54CA" w14:textId="6C499BB4" w:rsidR="002E51B0" w:rsidRPr="002E51B0" w:rsidRDefault="004B3C65" w:rsidP="002E51B0">
            <w:pPr>
              <w:jc w:val="center"/>
              <w:rPr>
                <w:rFonts w:ascii="Calibri" w:hAnsi="Calibri"/>
                <w:b/>
                <w:bCs/>
                <w:color w:val="auto"/>
                <w:sz w:val="20"/>
                <w:szCs w:val="20"/>
              </w:rPr>
            </w:pPr>
            <w:r>
              <w:rPr>
                <w:rFonts w:ascii="Calibri" w:hAnsi="Calibri"/>
                <w:b/>
                <w:bCs/>
                <w:color w:val="auto"/>
                <w:sz w:val="20"/>
                <w:szCs w:val="20"/>
              </w:rPr>
              <w:t>Redni broj</w:t>
            </w:r>
          </w:p>
        </w:tc>
        <w:tc>
          <w:tcPr>
            <w:tcW w:w="3791" w:type="dxa"/>
            <w:tcBorders>
              <w:top w:val="single" w:sz="4" w:space="0" w:color="auto"/>
              <w:left w:val="nil"/>
              <w:bottom w:val="single" w:sz="4" w:space="0" w:color="auto"/>
              <w:right w:val="single" w:sz="4" w:space="0" w:color="auto"/>
            </w:tcBorders>
            <w:shd w:val="clear" w:color="000000" w:fill="8DB4E2"/>
            <w:vAlign w:val="center"/>
            <w:hideMark/>
          </w:tcPr>
          <w:p w14:paraId="09E09AD5" w14:textId="71CB0D48" w:rsidR="002E51B0" w:rsidRPr="002E51B0" w:rsidRDefault="004B3C65" w:rsidP="002E51B0">
            <w:pPr>
              <w:jc w:val="center"/>
              <w:rPr>
                <w:rFonts w:ascii="Calibri" w:hAnsi="Calibri"/>
                <w:b/>
                <w:bCs/>
                <w:color w:val="auto"/>
                <w:sz w:val="20"/>
                <w:szCs w:val="20"/>
              </w:rPr>
            </w:pPr>
            <w:r>
              <w:rPr>
                <w:rFonts w:ascii="Calibri" w:hAnsi="Calibri"/>
                <w:b/>
                <w:bCs/>
                <w:color w:val="auto"/>
                <w:sz w:val="20"/>
                <w:szCs w:val="20"/>
              </w:rPr>
              <w:t>Investicije</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14:paraId="08A0A1DE" w14:textId="056EAE82"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 xml:space="preserve">Planirano </w:t>
            </w:r>
            <w:r w:rsidR="004B3C65">
              <w:rPr>
                <w:rFonts w:ascii="Calibri" w:hAnsi="Calibri"/>
                <w:b/>
                <w:bCs/>
                <w:color w:val="auto"/>
                <w:sz w:val="20"/>
                <w:szCs w:val="20"/>
              </w:rPr>
              <w:t xml:space="preserve">u </w:t>
            </w:r>
            <w:r w:rsidRPr="002E51B0">
              <w:rPr>
                <w:rFonts w:ascii="Calibri" w:hAnsi="Calibri"/>
                <w:b/>
                <w:bCs/>
                <w:color w:val="auto"/>
                <w:sz w:val="20"/>
                <w:szCs w:val="20"/>
              </w:rPr>
              <w:t>2023. Godin</w:t>
            </w:r>
            <w:r w:rsidR="004B3C65">
              <w:rPr>
                <w:rFonts w:ascii="Calibri" w:hAnsi="Calibri"/>
                <w:b/>
                <w:bCs/>
                <w:color w:val="auto"/>
                <w:sz w:val="20"/>
                <w:szCs w:val="20"/>
              </w:rPr>
              <w:t>i</w:t>
            </w:r>
          </w:p>
        </w:tc>
        <w:tc>
          <w:tcPr>
            <w:tcW w:w="1560" w:type="dxa"/>
            <w:tcBorders>
              <w:top w:val="single" w:sz="4" w:space="0" w:color="auto"/>
              <w:left w:val="nil"/>
              <w:bottom w:val="single" w:sz="4" w:space="0" w:color="auto"/>
              <w:right w:val="single" w:sz="4" w:space="0" w:color="auto"/>
            </w:tcBorders>
            <w:shd w:val="clear" w:color="000000" w:fill="8DB4E2"/>
            <w:vAlign w:val="center"/>
            <w:hideMark/>
          </w:tcPr>
          <w:p w14:paraId="156E75E0"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 xml:space="preserve">Ostvareno u 2023. godini </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14:paraId="49ACDD01"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Indeks</w:t>
            </w:r>
          </w:p>
        </w:tc>
      </w:tr>
      <w:tr w:rsidR="002E51B0" w:rsidRPr="002E51B0" w14:paraId="27166788"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731A741"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1.</w:t>
            </w:r>
          </w:p>
        </w:tc>
        <w:tc>
          <w:tcPr>
            <w:tcW w:w="3791" w:type="dxa"/>
            <w:tcBorders>
              <w:top w:val="nil"/>
              <w:left w:val="nil"/>
              <w:bottom w:val="single" w:sz="4" w:space="0" w:color="auto"/>
              <w:right w:val="single" w:sz="4" w:space="0" w:color="auto"/>
            </w:tcBorders>
            <w:shd w:val="clear" w:color="auto" w:fill="auto"/>
            <w:noWrap/>
            <w:vAlign w:val="center"/>
            <w:hideMark/>
          </w:tcPr>
          <w:p w14:paraId="06EA3784" w14:textId="77777777" w:rsidR="002E51B0" w:rsidRPr="002E51B0" w:rsidRDefault="002E51B0" w:rsidP="002E51B0">
            <w:pPr>
              <w:rPr>
                <w:rFonts w:ascii="Calibri" w:hAnsi="Calibri"/>
                <w:b/>
                <w:bCs/>
                <w:color w:val="auto"/>
                <w:sz w:val="20"/>
                <w:szCs w:val="20"/>
              </w:rPr>
            </w:pPr>
            <w:r w:rsidRPr="002E51B0">
              <w:rPr>
                <w:rFonts w:ascii="Calibri" w:hAnsi="Calibri"/>
                <w:b/>
                <w:bCs/>
                <w:color w:val="auto"/>
                <w:sz w:val="20"/>
                <w:szCs w:val="20"/>
              </w:rPr>
              <w:t>Adaptacija poslovnog prostora</w:t>
            </w:r>
          </w:p>
        </w:tc>
        <w:tc>
          <w:tcPr>
            <w:tcW w:w="1701" w:type="dxa"/>
            <w:tcBorders>
              <w:top w:val="nil"/>
              <w:left w:val="nil"/>
              <w:bottom w:val="single" w:sz="4" w:space="0" w:color="auto"/>
              <w:right w:val="single" w:sz="4" w:space="0" w:color="auto"/>
            </w:tcBorders>
            <w:shd w:val="clear" w:color="auto" w:fill="auto"/>
            <w:vAlign w:val="center"/>
            <w:hideMark/>
          </w:tcPr>
          <w:p w14:paraId="626080B1"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1.000,00</w:t>
            </w:r>
          </w:p>
        </w:tc>
        <w:tc>
          <w:tcPr>
            <w:tcW w:w="1560" w:type="dxa"/>
            <w:tcBorders>
              <w:top w:val="nil"/>
              <w:left w:val="nil"/>
              <w:bottom w:val="single" w:sz="4" w:space="0" w:color="auto"/>
              <w:right w:val="single" w:sz="4" w:space="0" w:color="auto"/>
            </w:tcBorders>
            <w:shd w:val="clear" w:color="auto" w:fill="auto"/>
            <w:noWrap/>
            <w:vAlign w:val="center"/>
            <w:hideMark/>
          </w:tcPr>
          <w:p w14:paraId="2B35F9EB" w14:textId="77777777" w:rsidR="002E51B0" w:rsidRPr="002E51B0" w:rsidRDefault="002E51B0" w:rsidP="002E51B0">
            <w:pPr>
              <w:jc w:val="right"/>
              <w:rPr>
                <w:rFonts w:ascii="Calibri" w:hAnsi="Calibri"/>
                <w:b/>
                <w:bCs/>
                <w:color w:val="auto"/>
                <w:sz w:val="20"/>
                <w:szCs w:val="20"/>
              </w:rPr>
            </w:pPr>
            <w:r w:rsidRPr="002E51B0">
              <w:rPr>
                <w:rFonts w:ascii="Calibri" w:hAnsi="Calibri"/>
                <w:b/>
                <w:bCs/>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50C16A43"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0,00</w:t>
            </w:r>
          </w:p>
        </w:tc>
      </w:tr>
      <w:tr w:rsidR="002E51B0" w:rsidRPr="002E51B0" w14:paraId="71F0B94C"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18E820F"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2.</w:t>
            </w:r>
          </w:p>
        </w:tc>
        <w:tc>
          <w:tcPr>
            <w:tcW w:w="3791" w:type="dxa"/>
            <w:tcBorders>
              <w:top w:val="nil"/>
              <w:left w:val="nil"/>
              <w:bottom w:val="single" w:sz="4" w:space="0" w:color="auto"/>
              <w:right w:val="single" w:sz="4" w:space="0" w:color="auto"/>
            </w:tcBorders>
            <w:shd w:val="clear" w:color="auto" w:fill="auto"/>
            <w:noWrap/>
            <w:vAlign w:val="center"/>
            <w:hideMark/>
          </w:tcPr>
          <w:p w14:paraId="73202F05" w14:textId="4EE79908" w:rsidR="002E51B0" w:rsidRPr="002E51B0" w:rsidRDefault="004B3C65" w:rsidP="002E51B0">
            <w:pPr>
              <w:rPr>
                <w:rFonts w:ascii="Calibri" w:hAnsi="Calibri"/>
                <w:b/>
                <w:bCs/>
                <w:color w:val="auto"/>
                <w:sz w:val="20"/>
                <w:szCs w:val="20"/>
              </w:rPr>
            </w:pPr>
            <w:r>
              <w:rPr>
                <w:rFonts w:ascii="Calibri" w:hAnsi="Calibri"/>
                <w:b/>
                <w:bCs/>
                <w:color w:val="auto"/>
                <w:sz w:val="20"/>
                <w:szCs w:val="20"/>
              </w:rPr>
              <w:t>Oprema</w:t>
            </w:r>
          </w:p>
        </w:tc>
        <w:tc>
          <w:tcPr>
            <w:tcW w:w="1701" w:type="dxa"/>
            <w:tcBorders>
              <w:top w:val="nil"/>
              <w:left w:val="nil"/>
              <w:bottom w:val="single" w:sz="4" w:space="0" w:color="auto"/>
              <w:right w:val="single" w:sz="4" w:space="0" w:color="auto"/>
            </w:tcBorders>
            <w:shd w:val="clear" w:color="auto" w:fill="auto"/>
            <w:vAlign w:val="center"/>
            <w:hideMark/>
          </w:tcPr>
          <w:p w14:paraId="34B8CE26"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9.000,00</w:t>
            </w:r>
          </w:p>
        </w:tc>
        <w:tc>
          <w:tcPr>
            <w:tcW w:w="1560" w:type="dxa"/>
            <w:tcBorders>
              <w:top w:val="nil"/>
              <w:left w:val="nil"/>
              <w:bottom w:val="single" w:sz="4" w:space="0" w:color="auto"/>
              <w:right w:val="single" w:sz="4" w:space="0" w:color="auto"/>
            </w:tcBorders>
            <w:shd w:val="clear" w:color="auto" w:fill="auto"/>
            <w:noWrap/>
            <w:vAlign w:val="center"/>
            <w:hideMark/>
          </w:tcPr>
          <w:p w14:paraId="30C9610C" w14:textId="77777777" w:rsidR="002E51B0" w:rsidRPr="002E51B0" w:rsidRDefault="002E51B0" w:rsidP="002E51B0">
            <w:pPr>
              <w:jc w:val="right"/>
              <w:rPr>
                <w:rFonts w:ascii="Calibri" w:hAnsi="Calibri"/>
                <w:b/>
                <w:bCs/>
                <w:color w:val="auto"/>
                <w:sz w:val="20"/>
                <w:szCs w:val="20"/>
              </w:rPr>
            </w:pPr>
            <w:r w:rsidRPr="002E51B0">
              <w:rPr>
                <w:rFonts w:ascii="Calibri" w:hAnsi="Calibri"/>
                <w:b/>
                <w:bCs/>
                <w:color w:val="auto"/>
                <w:sz w:val="20"/>
                <w:szCs w:val="20"/>
              </w:rPr>
              <w:t>16.812,67</w:t>
            </w:r>
          </w:p>
        </w:tc>
        <w:tc>
          <w:tcPr>
            <w:tcW w:w="992" w:type="dxa"/>
            <w:tcBorders>
              <w:top w:val="nil"/>
              <w:left w:val="nil"/>
              <w:bottom w:val="single" w:sz="4" w:space="0" w:color="auto"/>
              <w:right w:val="single" w:sz="4" w:space="0" w:color="auto"/>
            </w:tcBorders>
            <w:shd w:val="clear" w:color="auto" w:fill="auto"/>
            <w:noWrap/>
            <w:vAlign w:val="center"/>
            <w:hideMark/>
          </w:tcPr>
          <w:p w14:paraId="389CC9A6"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186,81</w:t>
            </w:r>
          </w:p>
        </w:tc>
      </w:tr>
      <w:tr w:rsidR="002E51B0" w:rsidRPr="002E51B0" w14:paraId="318D16C2"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B018A34"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2.1</w:t>
            </w:r>
          </w:p>
        </w:tc>
        <w:tc>
          <w:tcPr>
            <w:tcW w:w="3791" w:type="dxa"/>
            <w:tcBorders>
              <w:top w:val="nil"/>
              <w:left w:val="nil"/>
              <w:bottom w:val="single" w:sz="4" w:space="0" w:color="auto"/>
              <w:right w:val="single" w:sz="4" w:space="0" w:color="auto"/>
            </w:tcBorders>
            <w:shd w:val="clear" w:color="auto" w:fill="auto"/>
            <w:noWrap/>
            <w:vAlign w:val="center"/>
            <w:hideMark/>
          </w:tcPr>
          <w:p w14:paraId="451FAE74" w14:textId="77777777" w:rsidR="002E51B0" w:rsidRPr="002E51B0" w:rsidRDefault="002E51B0" w:rsidP="002E51B0">
            <w:pPr>
              <w:rPr>
                <w:rFonts w:ascii="Calibri" w:hAnsi="Calibri"/>
                <w:color w:val="auto"/>
                <w:sz w:val="20"/>
                <w:szCs w:val="20"/>
              </w:rPr>
            </w:pPr>
            <w:r w:rsidRPr="002E51B0">
              <w:rPr>
                <w:rFonts w:ascii="Calibri" w:hAnsi="Calibri"/>
                <w:color w:val="auto"/>
                <w:sz w:val="20"/>
                <w:szCs w:val="20"/>
              </w:rPr>
              <w:t>Računarska oprema</w:t>
            </w:r>
          </w:p>
        </w:tc>
        <w:tc>
          <w:tcPr>
            <w:tcW w:w="1701" w:type="dxa"/>
            <w:tcBorders>
              <w:top w:val="nil"/>
              <w:left w:val="nil"/>
              <w:bottom w:val="single" w:sz="4" w:space="0" w:color="auto"/>
              <w:right w:val="single" w:sz="4" w:space="0" w:color="auto"/>
            </w:tcBorders>
            <w:shd w:val="clear" w:color="auto" w:fill="auto"/>
            <w:vAlign w:val="center"/>
            <w:hideMark/>
          </w:tcPr>
          <w:p w14:paraId="6B746F81" w14:textId="77777777" w:rsidR="002E51B0" w:rsidRPr="002E51B0" w:rsidRDefault="002E51B0" w:rsidP="002E51B0">
            <w:pPr>
              <w:jc w:val="right"/>
              <w:rPr>
                <w:rFonts w:ascii="Calibri" w:hAnsi="Calibri"/>
                <w:sz w:val="20"/>
                <w:szCs w:val="20"/>
              </w:rPr>
            </w:pPr>
            <w:r w:rsidRPr="002E51B0">
              <w:rPr>
                <w:rFonts w:ascii="Calibri" w:hAnsi="Calibri"/>
                <w:sz w:val="20"/>
                <w:szCs w:val="20"/>
              </w:rPr>
              <w:t>7.000,00</w:t>
            </w:r>
          </w:p>
        </w:tc>
        <w:tc>
          <w:tcPr>
            <w:tcW w:w="1560" w:type="dxa"/>
            <w:tcBorders>
              <w:top w:val="nil"/>
              <w:left w:val="nil"/>
              <w:bottom w:val="single" w:sz="4" w:space="0" w:color="auto"/>
              <w:right w:val="single" w:sz="4" w:space="0" w:color="auto"/>
            </w:tcBorders>
            <w:shd w:val="clear" w:color="auto" w:fill="auto"/>
            <w:noWrap/>
            <w:vAlign w:val="center"/>
            <w:hideMark/>
          </w:tcPr>
          <w:p w14:paraId="6CE6A01F"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7.960,04</w:t>
            </w:r>
          </w:p>
        </w:tc>
        <w:tc>
          <w:tcPr>
            <w:tcW w:w="992" w:type="dxa"/>
            <w:tcBorders>
              <w:top w:val="nil"/>
              <w:left w:val="nil"/>
              <w:bottom w:val="single" w:sz="4" w:space="0" w:color="auto"/>
              <w:right w:val="single" w:sz="4" w:space="0" w:color="auto"/>
            </w:tcBorders>
            <w:shd w:val="clear" w:color="auto" w:fill="auto"/>
            <w:noWrap/>
            <w:vAlign w:val="center"/>
            <w:hideMark/>
          </w:tcPr>
          <w:p w14:paraId="6699B3A1" w14:textId="77777777" w:rsidR="002E51B0" w:rsidRPr="002E51B0" w:rsidRDefault="002E51B0" w:rsidP="002E51B0">
            <w:pPr>
              <w:jc w:val="right"/>
              <w:rPr>
                <w:rFonts w:ascii="Calibri" w:hAnsi="Calibri"/>
                <w:sz w:val="20"/>
                <w:szCs w:val="20"/>
              </w:rPr>
            </w:pPr>
            <w:r w:rsidRPr="002E51B0">
              <w:rPr>
                <w:rFonts w:ascii="Calibri" w:hAnsi="Calibri"/>
                <w:sz w:val="20"/>
                <w:szCs w:val="20"/>
              </w:rPr>
              <w:t>113,71</w:t>
            </w:r>
          </w:p>
        </w:tc>
      </w:tr>
      <w:tr w:rsidR="002E51B0" w:rsidRPr="002E51B0" w14:paraId="357F15A0"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CAEE034"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2.2</w:t>
            </w:r>
          </w:p>
        </w:tc>
        <w:tc>
          <w:tcPr>
            <w:tcW w:w="3791" w:type="dxa"/>
            <w:tcBorders>
              <w:top w:val="nil"/>
              <w:left w:val="nil"/>
              <w:bottom w:val="single" w:sz="4" w:space="0" w:color="auto"/>
              <w:right w:val="single" w:sz="4" w:space="0" w:color="auto"/>
            </w:tcBorders>
            <w:shd w:val="clear" w:color="auto" w:fill="auto"/>
            <w:noWrap/>
            <w:vAlign w:val="center"/>
            <w:hideMark/>
          </w:tcPr>
          <w:p w14:paraId="2BDBE88F" w14:textId="324AEAB2" w:rsidR="002E51B0" w:rsidRPr="002E51B0" w:rsidRDefault="004B3C65" w:rsidP="002E51B0">
            <w:pPr>
              <w:rPr>
                <w:rFonts w:ascii="Calibri" w:hAnsi="Calibri"/>
                <w:color w:val="auto"/>
                <w:sz w:val="20"/>
                <w:szCs w:val="20"/>
              </w:rPr>
            </w:pPr>
            <w:r>
              <w:rPr>
                <w:rFonts w:ascii="Calibri" w:hAnsi="Calibri"/>
                <w:color w:val="auto"/>
                <w:sz w:val="20"/>
                <w:szCs w:val="20"/>
              </w:rPr>
              <w:t>Telefoni</w:t>
            </w:r>
          </w:p>
        </w:tc>
        <w:tc>
          <w:tcPr>
            <w:tcW w:w="1701" w:type="dxa"/>
            <w:tcBorders>
              <w:top w:val="nil"/>
              <w:left w:val="nil"/>
              <w:bottom w:val="single" w:sz="4" w:space="0" w:color="auto"/>
              <w:right w:val="single" w:sz="4" w:space="0" w:color="auto"/>
            </w:tcBorders>
            <w:shd w:val="clear" w:color="auto" w:fill="auto"/>
            <w:vAlign w:val="center"/>
            <w:hideMark/>
          </w:tcPr>
          <w:p w14:paraId="2E757C3C" w14:textId="77777777" w:rsidR="002E51B0" w:rsidRPr="002E51B0" w:rsidRDefault="002E51B0" w:rsidP="002E51B0">
            <w:pPr>
              <w:jc w:val="right"/>
              <w:rPr>
                <w:rFonts w:ascii="Calibri" w:hAnsi="Calibri"/>
                <w:sz w:val="20"/>
                <w:szCs w:val="20"/>
              </w:rPr>
            </w:pPr>
            <w:r w:rsidRPr="002E51B0">
              <w:rPr>
                <w:rFonts w:ascii="Calibri" w:hAnsi="Calibri"/>
                <w:sz w:val="20"/>
                <w:szCs w:val="20"/>
              </w:rPr>
              <w:t>2.000,00</w:t>
            </w:r>
          </w:p>
        </w:tc>
        <w:tc>
          <w:tcPr>
            <w:tcW w:w="1560" w:type="dxa"/>
            <w:tcBorders>
              <w:top w:val="nil"/>
              <w:left w:val="nil"/>
              <w:bottom w:val="single" w:sz="4" w:space="0" w:color="auto"/>
              <w:right w:val="single" w:sz="4" w:space="0" w:color="auto"/>
            </w:tcBorders>
            <w:shd w:val="clear" w:color="auto" w:fill="auto"/>
            <w:noWrap/>
            <w:vAlign w:val="center"/>
            <w:hideMark/>
          </w:tcPr>
          <w:p w14:paraId="6C2BCBCE"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7.585,00</w:t>
            </w:r>
          </w:p>
        </w:tc>
        <w:tc>
          <w:tcPr>
            <w:tcW w:w="992" w:type="dxa"/>
            <w:tcBorders>
              <w:top w:val="nil"/>
              <w:left w:val="nil"/>
              <w:bottom w:val="single" w:sz="4" w:space="0" w:color="auto"/>
              <w:right w:val="single" w:sz="4" w:space="0" w:color="auto"/>
            </w:tcBorders>
            <w:shd w:val="clear" w:color="auto" w:fill="auto"/>
            <w:noWrap/>
            <w:vAlign w:val="center"/>
            <w:hideMark/>
          </w:tcPr>
          <w:p w14:paraId="67369F03" w14:textId="77777777" w:rsidR="002E51B0" w:rsidRPr="002E51B0" w:rsidRDefault="002E51B0" w:rsidP="002E51B0">
            <w:pPr>
              <w:jc w:val="right"/>
              <w:rPr>
                <w:rFonts w:ascii="Calibri" w:hAnsi="Calibri"/>
                <w:sz w:val="20"/>
                <w:szCs w:val="20"/>
              </w:rPr>
            </w:pPr>
            <w:r w:rsidRPr="002E51B0">
              <w:rPr>
                <w:rFonts w:ascii="Calibri" w:hAnsi="Calibri"/>
                <w:sz w:val="20"/>
                <w:szCs w:val="20"/>
              </w:rPr>
              <w:t>379,25</w:t>
            </w:r>
          </w:p>
        </w:tc>
      </w:tr>
      <w:tr w:rsidR="002E51B0" w:rsidRPr="002E51B0" w14:paraId="1AFC023B"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76D654D"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2.3</w:t>
            </w:r>
          </w:p>
        </w:tc>
        <w:tc>
          <w:tcPr>
            <w:tcW w:w="3791" w:type="dxa"/>
            <w:tcBorders>
              <w:top w:val="nil"/>
              <w:left w:val="nil"/>
              <w:bottom w:val="single" w:sz="4" w:space="0" w:color="auto"/>
              <w:right w:val="single" w:sz="4" w:space="0" w:color="auto"/>
            </w:tcBorders>
            <w:shd w:val="clear" w:color="auto" w:fill="auto"/>
            <w:noWrap/>
            <w:vAlign w:val="center"/>
            <w:hideMark/>
          </w:tcPr>
          <w:p w14:paraId="6AD4346E" w14:textId="364FE16B" w:rsidR="002E51B0" w:rsidRPr="002E51B0" w:rsidRDefault="002E51B0" w:rsidP="002E51B0">
            <w:pPr>
              <w:rPr>
                <w:rFonts w:ascii="Calibri" w:hAnsi="Calibri"/>
                <w:color w:val="auto"/>
                <w:sz w:val="20"/>
                <w:szCs w:val="20"/>
              </w:rPr>
            </w:pPr>
            <w:r w:rsidRPr="002E51B0">
              <w:rPr>
                <w:rFonts w:ascii="Calibri" w:hAnsi="Calibri"/>
                <w:color w:val="auto"/>
                <w:sz w:val="20"/>
                <w:szCs w:val="20"/>
              </w:rPr>
              <w:t>Ostal</w:t>
            </w:r>
            <w:r w:rsidR="004B3C65">
              <w:rPr>
                <w:rFonts w:ascii="Calibri" w:hAnsi="Calibri"/>
                <w:color w:val="auto"/>
                <w:sz w:val="20"/>
                <w:szCs w:val="20"/>
              </w:rPr>
              <w:t>o</w:t>
            </w:r>
          </w:p>
        </w:tc>
        <w:tc>
          <w:tcPr>
            <w:tcW w:w="1701" w:type="dxa"/>
            <w:tcBorders>
              <w:top w:val="nil"/>
              <w:left w:val="nil"/>
              <w:bottom w:val="single" w:sz="4" w:space="0" w:color="auto"/>
              <w:right w:val="single" w:sz="4" w:space="0" w:color="auto"/>
            </w:tcBorders>
            <w:shd w:val="clear" w:color="auto" w:fill="auto"/>
            <w:vAlign w:val="center"/>
            <w:hideMark/>
          </w:tcPr>
          <w:p w14:paraId="69EC4AA8"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c>
          <w:tcPr>
            <w:tcW w:w="1560" w:type="dxa"/>
            <w:tcBorders>
              <w:top w:val="nil"/>
              <w:left w:val="nil"/>
              <w:bottom w:val="single" w:sz="4" w:space="0" w:color="auto"/>
              <w:right w:val="single" w:sz="4" w:space="0" w:color="auto"/>
            </w:tcBorders>
            <w:shd w:val="clear" w:color="auto" w:fill="auto"/>
            <w:noWrap/>
            <w:vAlign w:val="center"/>
            <w:hideMark/>
          </w:tcPr>
          <w:p w14:paraId="28F9020C"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1.267,63</w:t>
            </w:r>
          </w:p>
        </w:tc>
        <w:tc>
          <w:tcPr>
            <w:tcW w:w="992" w:type="dxa"/>
            <w:tcBorders>
              <w:top w:val="nil"/>
              <w:left w:val="nil"/>
              <w:bottom w:val="single" w:sz="4" w:space="0" w:color="auto"/>
              <w:right w:val="single" w:sz="4" w:space="0" w:color="auto"/>
            </w:tcBorders>
            <w:shd w:val="clear" w:color="auto" w:fill="auto"/>
            <w:noWrap/>
            <w:vAlign w:val="center"/>
            <w:hideMark/>
          </w:tcPr>
          <w:p w14:paraId="73D0593A"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 </w:t>
            </w:r>
          </w:p>
        </w:tc>
      </w:tr>
      <w:tr w:rsidR="002E51B0" w:rsidRPr="002E51B0" w14:paraId="6FF1FF63"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0EE4429" w14:textId="77777777" w:rsidR="002E51B0" w:rsidRPr="002E51B0" w:rsidRDefault="002E51B0" w:rsidP="002E51B0">
            <w:pPr>
              <w:jc w:val="center"/>
              <w:rPr>
                <w:rFonts w:ascii="Calibri" w:hAnsi="Calibri"/>
                <w:b/>
                <w:bCs/>
                <w:color w:val="auto"/>
                <w:sz w:val="20"/>
                <w:szCs w:val="20"/>
              </w:rPr>
            </w:pPr>
            <w:r w:rsidRPr="002E51B0">
              <w:rPr>
                <w:rFonts w:ascii="Calibri" w:hAnsi="Calibri"/>
                <w:b/>
                <w:bCs/>
                <w:color w:val="auto"/>
                <w:sz w:val="20"/>
                <w:szCs w:val="20"/>
              </w:rPr>
              <w:t>3.</w:t>
            </w:r>
          </w:p>
        </w:tc>
        <w:tc>
          <w:tcPr>
            <w:tcW w:w="3791" w:type="dxa"/>
            <w:tcBorders>
              <w:top w:val="nil"/>
              <w:left w:val="nil"/>
              <w:bottom w:val="single" w:sz="4" w:space="0" w:color="auto"/>
              <w:right w:val="single" w:sz="4" w:space="0" w:color="auto"/>
            </w:tcBorders>
            <w:shd w:val="clear" w:color="auto" w:fill="auto"/>
            <w:noWrap/>
            <w:vAlign w:val="center"/>
            <w:hideMark/>
          </w:tcPr>
          <w:p w14:paraId="5FB9B19C" w14:textId="570F6222" w:rsidR="002E51B0" w:rsidRPr="002E51B0" w:rsidRDefault="004B3C65" w:rsidP="002E51B0">
            <w:pPr>
              <w:rPr>
                <w:rFonts w:ascii="Calibri" w:hAnsi="Calibri"/>
                <w:b/>
                <w:bCs/>
                <w:color w:val="auto"/>
                <w:sz w:val="20"/>
                <w:szCs w:val="20"/>
              </w:rPr>
            </w:pPr>
            <w:r>
              <w:rPr>
                <w:rFonts w:ascii="Calibri" w:hAnsi="Calibri"/>
                <w:b/>
                <w:bCs/>
                <w:color w:val="auto"/>
                <w:sz w:val="20"/>
                <w:szCs w:val="20"/>
              </w:rPr>
              <w:t>Programska</w:t>
            </w:r>
            <w:r w:rsidR="002E51B0" w:rsidRPr="002E51B0">
              <w:rPr>
                <w:rFonts w:ascii="Calibri" w:hAnsi="Calibri"/>
                <w:b/>
                <w:bCs/>
                <w:color w:val="auto"/>
                <w:sz w:val="20"/>
                <w:szCs w:val="20"/>
              </w:rPr>
              <w:t xml:space="preserve"> podrška </w:t>
            </w:r>
          </w:p>
        </w:tc>
        <w:tc>
          <w:tcPr>
            <w:tcW w:w="1701" w:type="dxa"/>
            <w:tcBorders>
              <w:top w:val="nil"/>
              <w:left w:val="nil"/>
              <w:bottom w:val="single" w:sz="4" w:space="0" w:color="auto"/>
              <w:right w:val="single" w:sz="4" w:space="0" w:color="auto"/>
            </w:tcBorders>
            <w:shd w:val="clear" w:color="auto" w:fill="auto"/>
            <w:vAlign w:val="center"/>
            <w:hideMark/>
          </w:tcPr>
          <w:p w14:paraId="71DF89E8"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26.950,00</w:t>
            </w:r>
          </w:p>
        </w:tc>
        <w:tc>
          <w:tcPr>
            <w:tcW w:w="1560" w:type="dxa"/>
            <w:tcBorders>
              <w:top w:val="nil"/>
              <w:left w:val="nil"/>
              <w:bottom w:val="single" w:sz="4" w:space="0" w:color="auto"/>
              <w:right w:val="single" w:sz="4" w:space="0" w:color="auto"/>
            </w:tcBorders>
            <w:shd w:val="clear" w:color="auto" w:fill="auto"/>
            <w:vAlign w:val="center"/>
            <w:hideMark/>
          </w:tcPr>
          <w:p w14:paraId="27BA7A20" w14:textId="77777777" w:rsidR="002E51B0" w:rsidRPr="002E51B0" w:rsidRDefault="002E51B0" w:rsidP="002E51B0">
            <w:pPr>
              <w:jc w:val="right"/>
              <w:rPr>
                <w:rFonts w:ascii="Calibri" w:hAnsi="Calibri"/>
                <w:b/>
                <w:bCs/>
                <w:color w:val="auto"/>
                <w:sz w:val="20"/>
                <w:szCs w:val="20"/>
              </w:rPr>
            </w:pPr>
            <w:r w:rsidRPr="002E51B0">
              <w:rPr>
                <w:rFonts w:ascii="Calibri" w:hAnsi="Calibri"/>
                <w:b/>
                <w:bCs/>
                <w:color w:val="auto"/>
                <w:sz w:val="20"/>
                <w:szCs w:val="20"/>
              </w:rPr>
              <w:t>8.979,46</w:t>
            </w:r>
          </w:p>
        </w:tc>
        <w:tc>
          <w:tcPr>
            <w:tcW w:w="992" w:type="dxa"/>
            <w:tcBorders>
              <w:top w:val="nil"/>
              <w:left w:val="nil"/>
              <w:bottom w:val="single" w:sz="4" w:space="0" w:color="auto"/>
              <w:right w:val="single" w:sz="4" w:space="0" w:color="auto"/>
            </w:tcBorders>
            <w:shd w:val="clear" w:color="auto" w:fill="auto"/>
            <w:noWrap/>
            <w:vAlign w:val="center"/>
            <w:hideMark/>
          </w:tcPr>
          <w:p w14:paraId="37EBE662"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33,32</w:t>
            </w:r>
          </w:p>
        </w:tc>
      </w:tr>
      <w:tr w:rsidR="002E51B0" w:rsidRPr="002E51B0" w14:paraId="38D40812" w14:textId="77777777" w:rsidTr="002E51B0">
        <w:trPr>
          <w:trHeight w:val="51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1DF653D"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3.1.</w:t>
            </w:r>
          </w:p>
        </w:tc>
        <w:tc>
          <w:tcPr>
            <w:tcW w:w="3791" w:type="dxa"/>
            <w:tcBorders>
              <w:top w:val="nil"/>
              <w:left w:val="nil"/>
              <w:bottom w:val="single" w:sz="4" w:space="0" w:color="auto"/>
              <w:right w:val="single" w:sz="4" w:space="0" w:color="auto"/>
            </w:tcBorders>
            <w:shd w:val="clear" w:color="auto" w:fill="auto"/>
            <w:noWrap/>
            <w:vAlign w:val="center"/>
            <w:hideMark/>
          </w:tcPr>
          <w:p w14:paraId="623B9AC4" w14:textId="77777777" w:rsidR="002E51B0" w:rsidRPr="002E51B0" w:rsidRDefault="002E51B0" w:rsidP="005D0BE8">
            <w:pPr>
              <w:jc w:val="left"/>
              <w:rPr>
                <w:rFonts w:ascii="Calibri" w:hAnsi="Calibri"/>
                <w:sz w:val="20"/>
                <w:szCs w:val="20"/>
              </w:rPr>
            </w:pPr>
            <w:r w:rsidRPr="002E51B0">
              <w:rPr>
                <w:rFonts w:ascii="Calibri" w:hAnsi="Calibri"/>
                <w:sz w:val="20"/>
                <w:szCs w:val="20"/>
              </w:rPr>
              <w:t xml:space="preserve">Usluge dorade aplikativnog softvera garancija </w:t>
            </w:r>
          </w:p>
        </w:tc>
        <w:tc>
          <w:tcPr>
            <w:tcW w:w="1701" w:type="dxa"/>
            <w:tcBorders>
              <w:top w:val="nil"/>
              <w:left w:val="nil"/>
              <w:bottom w:val="single" w:sz="4" w:space="0" w:color="auto"/>
              <w:right w:val="single" w:sz="4" w:space="0" w:color="auto"/>
            </w:tcBorders>
            <w:shd w:val="clear" w:color="auto" w:fill="auto"/>
            <w:vAlign w:val="center"/>
            <w:hideMark/>
          </w:tcPr>
          <w:p w14:paraId="23AD4798" w14:textId="77777777" w:rsidR="002E51B0" w:rsidRPr="002E51B0" w:rsidRDefault="002E51B0" w:rsidP="002E51B0">
            <w:pPr>
              <w:jc w:val="right"/>
              <w:rPr>
                <w:rFonts w:ascii="Calibri" w:hAnsi="Calibri"/>
                <w:sz w:val="20"/>
                <w:szCs w:val="20"/>
              </w:rPr>
            </w:pPr>
            <w:r w:rsidRPr="002E51B0">
              <w:rPr>
                <w:rFonts w:ascii="Calibri" w:hAnsi="Calibri"/>
                <w:sz w:val="20"/>
                <w:szCs w:val="20"/>
              </w:rPr>
              <w:t>5.000,00</w:t>
            </w:r>
          </w:p>
        </w:tc>
        <w:tc>
          <w:tcPr>
            <w:tcW w:w="1560" w:type="dxa"/>
            <w:tcBorders>
              <w:top w:val="nil"/>
              <w:left w:val="nil"/>
              <w:bottom w:val="single" w:sz="4" w:space="0" w:color="auto"/>
              <w:right w:val="single" w:sz="4" w:space="0" w:color="auto"/>
            </w:tcBorders>
            <w:shd w:val="clear" w:color="auto" w:fill="auto"/>
            <w:noWrap/>
            <w:vAlign w:val="center"/>
            <w:hideMark/>
          </w:tcPr>
          <w:p w14:paraId="49A04565"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1.263,60</w:t>
            </w:r>
          </w:p>
        </w:tc>
        <w:tc>
          <w:tcPr>
            <w:tcW w:w="992" w:type="dxa"/>
            <w:tcBorders>
              <w:top w:val="nil"/>
              <w:left w:val="nil"/>
              <w:bottom w:val="single" w:sz="4" w:space="0" w:color="auto"/>
              <w:right w:val="single" w:sz="4" w:space="0" w:color="auto"/>
            </w:tcBorders>
            <w:shd w:val="clear" w:color="auto" w:fill="auto"/>
            <w:noWrap/>
            <w:vAlign w:val="center"/>
            <w:hideMark/>
          </w:tcPr>
          <w:p w14:paraId="24930FDB" w14:textId="77777777" w:rsidR="002E51B0" w:rsidRPr="002E51B0" w:rsidRDefault="002E51B0" w:rsidP="002E51B0">
            <w:pPr>
              <w:jc w:val="right"/>
              <w:rPr>
                <w:rFonts w:ascii="Calibri" w:hAnsi="Calibri"/>
                <w:sz w:val="20"/>
                <w:szCs w:val="20"/>
              </w:rPr>
            </w:pPr>
            <w:r w:rsidRPr="002E51B0">
              <w:rPr>
                <w:rFonts w:ascii="Calibri" w:hAnsi="Calibri"/>
                <w:sz w:val="20"/>
                <w:szCs w:val="20"/>
              </w:rPr>
              <w:t>25,27</w:t>
            </w:r>
          </w:p>
        </w:tc>
      </w:tr>
      <w:tr w:rsidR="002E51B0" w:rsidRPr="002E51B0" w14:paraId="5E13322D" w14:textId="77777777" w:rsidTr="002E51B0">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9466744"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3.2</w:t>
            </w:r>
          </w:p>
        </w:tc>
        <w:tc>
          <w:tcPr>
            <w:tcW w:w="3791" w:type="dxa"/>
            <w:tcBorders>
              <w:top w:val="nil"/>
              <w:left w:val="nil"/>
              <w:bottom w:val="single" w:sz="4" w:space="0" w:color="auto"/>
              <w:right w:val="single" w:sz="4" w:space="0" w:color="auto"/>
            </w:tcBorders>
            <w:shd w:val="clear" w:color="auto" w:fill="auto"/>
            <w:noWrap/>
            <w:vAlign w:val="center"/>
            <w:hideMark/>
          </w:tcPr>
          <w:p w14:paraId="5CF4758A" w14:textId="77777777" w:rsidR="002E51B0" w:rsidRPr="002E51B0" w:rsidRDefault="002E51B0" w:rsidP="005D0BE8">
            <w:pPr>
              <w:jc w:val="left"/>
              <w:rPr>
                <w:rFonts w:ascii="Calibri" w:hAnsi="Calibri"/>
                <w:sz w:val="20"/>
                <w:szCs w:val="20"/>
              </w:rPr>
            </w:pPr>
            <w:r w:rsidRPr="002E51B0">
              <w:rPr>
                <w:rFonts w:ascii="Calibri" w:hAnsi="Calibri"/>
                <w:sz w:val="20"/>
                <w:szCs w:val="20"/>
              </w:rPr>
              <w:t>Nadogradnja softvera garancija modulom garancija za HOV</w:t>
            </w:r>
          </w:p>
        </w:tc>
        <w:tc>
          <w:tcPr>
            <w:tcW w:w="1701" w:type="dxa"/>
            <w:tcBorders>
              <w:top w:val="nil"/>
              <w:left w:val="nil"/>
              <w:bottom w:val="single" w:sz="4" w:space="0" w:color="auto"/>
              <w:right w:val="single" w:sz="4" w:space="0" w:color="auto"/>
            </w:tcBorders>
            <w:shd w:val="clear" w:color="auto" w:fill="auto"/>
            <w:vAlign w:val="center"/>
            <w:hideMark/>
          </w:tcPr>
          <w:p w14:paraId="294E272B" w14:textId="77777777" w:rsidR="002E51B0" w:rsidRPr="002E51B0" w:rsidRDefault="002E51B0" w:rsidP="002E51B0">
            <w:pPr>
              <w:jc w:val="right"/>
              <w:rPr>
                <w:rFonts w:ascii="Calibri" w:hAnsi="Calibri"/>
                <w:sz w:val="20"/>
                <w:szCs w:val="20"/>
              </w:rPr>
            </w:pPr>
            <w:r w:rsidRPr="002E51B0">
              <w:rPr>
                <w:rFonts w:ascii="Calibri" w:hAnsi="Calibri"/>
                <w:sz w:val="20"/>
                <w:szCs w:val="20"/>
              </w:rPr>
              <w:t>7.000,00</w:t>
            </w:r>
          </w:p>
        </w:tc>
        <w:tc>
          <w:tcPr>
            <w:tcW w:w="1560" w:type="dxa"/>
            <w:tcBorders>
              <w:top w:val="nil"/>
              <w:left w:val="nil"/>
              <w:bottom w:val="single" w:sz="4" w:space="0" w:color="auto"/>
              <w:right w:val="single" w:sz="4" w:space="0" w:color="auto"/>
            </w:tcBorders>
            <w:shd w:val="clear" w:color="auto" w:fill="auto"/>
            <w:noWrap/>
            <w:vAlign w:val="center"/>
            <w:hideMark/>
          </w:tcPr>
          <w:p w14:paraId="36417603"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08591F52"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r>
      <w:tr w:rsidR="002E51B0" w:rsidRPr="002E51B0" w14:paraId="300551B8" w14:textId="77777777" w:rsidTr="002E51B0">
        <w:trPr>
          <w:trHeight w:val="79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178DAB1"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3.3</w:t>
            </w:r>
          </w:p>
        </w:tc>
        <w:tc>
          <w:tcPr>
            <w:tcW w:w="3791" w:type="dxa"/>
            <w:tcBorders>
              <w:top w:val="nil"/>
              <w:left w:val="nil"/>
              <w:bottom w:val="single" w:sz="4" w:space="0" w:color="auto"/>
              <w:right w:val="single" w:sz="4" w:space="0" w:color="auto"/>
            </w:tcBorders>
            <w:shd w:val="clear" w:color="auto" w:fill="auto"/>
            <w:noWrap/>
            <w:vAlign w:val="center"/>
            <w:hideMark/>
          </w:tcPr>
          <w:p w14:paraId="346A72D2" w14:textId="77777777" w:rsidR="002E51B0" w:rsidRPr="002E51B0" w:rsidRDefault="002E51B0" w:rsidP="005D0BE8">
            <w:pPr>
              <w:jc w:val="left"/>
              <w:rPr>
                <w:rFonts w:ascii="Calibri" w:hAnsi="Calibri"/>
                <w:sz w:val="20"/>
                <w:szCs w:val="20"/>
              </w:rPr>
            </w:pPr>
            <w:r w:rsidRPr="002E51B0">
              <w:rPr>
                <w:rFonts w:ascii="Calibri" w:hAnsi="Calibri"/>
                <w:sz w:val="20"/>
                <w:szCs w:val="20"/>
              </w:rPr>
              <w:t>Nadogradnja softvera garancija modulom za portfelj za energetsku efikasnost</w:t>
            </w:r>
          </w:p>
        </w:tc>
        <w:tc>
          <w:tcPr>
            <w:tcW w:w="1701" w:type="dxa"/>
            <w:tcBorders>
              <w:top w:val="nil"/>
              <w:left w:val="nil"/>
              <w:bottom w:val="single" w:sz="4" w:space="0" w:color="auto"/>
              <w:right w:val="single" w:sz="4" w:space="0" w:color="auto"/>
            </w:tcBorders>
            <w:shd w:val="clear" w:color="auto" w:fill="auto"/>
            <w:vAlign w:val="center"/>
            <w:hideMark/>
          </w:tcPr>
          <w:p w14:paraId="72C3B6CE" w14:textId="77777777" w:rsidR="002E51B0" w:rsidRPr="002E51B0" w:rsidRDefault="002E51B0" w:rsidP="002E51B0">
            <w:pPr>
              <w:jc w:val="right"/>
              <w:rPr>
                <w:rFonts w:ascii="Calibri" w:hAnsi="Calibri"/>
                <w:sz w:val="20"/>
                <w:szCs w:val="20"/>
              </w:rPr>
            </w:pPr>
            <w:r w:rsidRPr="002E51B0">
              <w:rPr>
                <w:rFonts w:ascii="Calibri" w:hAnsi="Calibri"/>
                <w:sz w:val="20"/>
                <w:szCs w:val="20"/>
              </w:rPr>
              <w:t>7.000,00</w:t>
            </w:r>
          </w:p>
        </w:tc>
        <w:tc>
          <w:tcPr>
            <w:tcW w:w="1560" w:type="dxa"/>
            <w:tcBorders>
              <w:top w:val="nil"/>
              <w:left w:val="nil"/>
              <w:bottom w:val="single" w:sz="4" w:space="0" w:color="auto"/>
              <w:right w:val="single" w:sz="4" w:space="0" w:color="auto"/>
            </w:tcBorders>
            <w:shd w:val="clear" w:color="auto" w:fill="auto"/>
            <w:noWrap/>
            <w:vAlign w:val="center"/>
            <w:hideMark/>
          </w:tcPr>
          <w:p w14:paraId="5948F8D7"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7.020,00</w:t>
            </w:r>
          </w:p>
        </w:tc>
        <w:tc>
          <w:tcPr>
            <w:tcW w:w="992" w:type="dxa"/>
            <w:tcBorders>
              <w:top w:val="nil"/>
              <w:left w:val="nil"/>
              <w:bottom w:val="single" w:sz="4" w:space="0" w:color="auto"/>
              <w:right w:val="single" w:sz="4" w:space="0" w:color="auto"/>
            </w:tcBorders>
            <w:shd w:val="clear" w:color="auto" w:fill="auto"/>
            <w:noWrap/>
            <w:vAlign w:val="center"/>
            <w:hideMark/>
          </w:tcPr>
          <w:p w14:paraId="5F7F419F" w14:textId="77777777" w:rsidR="002E51B0" w:rsidRPr="002E51B0" w:rsidRDefault="002E51B0" w:rsidP="002E51B0">
            <w:pPr>
              <w:jc w:val="right"/>
              <w:rPr>
                <w:rFonts w:ascii="Calibri" w:hAnsi="Calibri"/>
                <w:sz w:val="20"/>
                <w:szCs w:val="20"/>
              </w:rPr>
            </w:pPr>
            <w:r w:rsidRPr="002E51B0">
              <w:rPr>
                <w:rFonts w:ascii="Calibri" w:hAnsi="Calibri"/>
                <w:sz w:val="20"/>
                <w:szCs w:val="20"/>
              </w:rPr>
              <w:t>100,29</w:t>
            </w:r>
          </w:p>
        </w:tc>
      </w:tr>
      <w:tr w:rsidR="002E51B0" w:rsidRPr="002E51B0" w14:paraId="4FA9C008" w14:textId="77777777" w:rsidTr="002E51B0">
        <w:trPr>
          <w:trHeight w:val="76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71CDB55"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3.4</w:t>
            </w:r>
          </w:p>
        </w:tc>
        <w:tc>
          <w:tcPr>
            <w:tcW w:w="3791" w:type="dxa"/>
            <w:tcBorders>
              <w:top w:val="nil"/>
              <w:left w:val="nil"/>
              <w:bottom w:val="single" w:sz="4" w:space="0" w:color="auto"/>
              <w:right w:val="single" w:sz="4" w:space="0" w:color="auto"/>
            </w:tcBorders>
            <w:shd w:val="clear" w:color="auto" w:fill="auto"/>
            <w:noWrap/>
            <w:vAlign w:val="center"/>
            <w:hideMark/>
          </w:tcPr>
          <w:p w14:paraId="09171D68" w14:textId="77777777" w:rsidR="002E51B0" w:rsidRPr="002E51B0" w:rsidRDefault="002E51B0" w:rsidP="005D0BE8">
            <w:pPr>
              <w:jc w:val="left"/>
              <w:rPr>
                <w:rFonts w:ascii="Calibri" w:hAnsi="Calibri"/>
                <w:sz w:val="20"/>
                <w:szCs w:val="20"/>
              </w:rPr>
            </w:pPr>
            <w:r w:rsidRPr="002E51B0">
              <w:rPr>
                <w:rFonts w:ascii="Calibri" w:hAnsi="Calibri"/>
                <w:sz w:val="20"/>
                <w:szCs w:val="20"/>
              </w:rPr>
              <w:t>Izrada softvera za protokol i upravljanje dokumentacionom građom</w:t>
            </w:r>
          </w:p>
        </w:tc>
        <w:tc>
          <w:tcPr>
            <w:tcW w:w="1701" w:type="dxa"/>
            <w:tcBorders>
              <w:top w:val="nil"/>
              <w:left w:val="nil"/>
              <w:bottom w:val="single" w:sz="4" w:space="0" w:color="auto"/>
              <w:right w:val="single" w:sz="4" w:space="0" w:color="auto"/>
            </w:tcBorders>
            <w:shd w:val="clear" w:color="auto" w:fill="auto"/>
            <w:vAlign w:val="center"/>
            <w:hideMark/>
          </w:tcPr>
          <w:p w14:paraId="56CFC3DF" w14:textId="77777777" w:rsidR="002E51B0" w:rsidRPr="002E51B0" w:rsidRDefault="002E51B0" w:rsidP="002E51B0">
            <w:pPr>
              <w:jc w:val="right"/>
              <w:rPr>
                <w:rFonts w:ascii="Calibri" w:hAnsi="Calibri"/>
                <w:sz w:val="20"/>
                <w:szCs w:val="20"/>
              </w:rPr>
            </w:pPr>
            <w:r w:rsidRPr="002E51B0">
              <w:rPr>
                <w:rFonts w:ascii="Calibri" w:hAnsi="Calibri"/>
                <w:sz w:val="20"/>
                <w:szCs w:val="20"/>
              </w:rPr>
              <w:t>6.000,00</w:t>
            </w:r>
          </w:p>
        </w:tc>
        <w:tc>
          <w:tcPr>
            <w:tcW w:w="1560" w:type="dxa"/>
            <w:tcBorders>
              <w:top w:val="nil"/>
              <w:left w:val="nil"/>
              <w:bottom w:val="single" w:sz="4" w:space="0" w:color="auto"/>
              <w:right w:val="single" w:sz="4" w:space="0" w:color="auto"/>
            </w:tcBorders>
            <w:shd w:val="clear" w:color="auto" w:fill="auto"/>
            <w:noWrap/>
            <w:vAlign w:val="center"/>
            <w:hideMark/>
          </w:tcPr>
          <w:p w14:paraId="7B9A187A"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61A9F1AF"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r>
      <w:tr w:rsidR="002E51B0" w:rsidRPr="002E51B0" w14:paraId="790093C6" w14:textId="77777777" w:rsidTr="002E51B0">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E38DD9B"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lastRenderedPageBreak/>
              <w:t>3.5</w:t>
            </w:r>
          </w:p>
        </w:tc>
        <w:tc>
          <w:tcPr>
            <w:tcW w:w="3791" w:type="dxa"/>
            <w:tcBorders>
              <w:top w:val="nil"/>
              <w:left w:val="nil"/>
              <w:bottom w:val="single" w:sz="4" w:space="0" w:color="auto"/>
              <w:right w:val="single" w:sz="4" w:space="0" w:color="auto"/>
            </w:tcBorders>
            <w:shd w:val="clear" w:color="auto" w:fill="auto"/>
            <w:noWrap/>
            <w:vAlign w:val="center"/>
            <w:hideMark/>
          </w:tcPr>
          <w:p w14:paraId="269A4FF6" w14:textId="77777777" w:rsidR="002E51B0" w:rsidRPr="002E51B0" w:rsidRDefault="002E51B0" w:rsidP="005D0BE8">
            <w:pPr>
              <w:jc w:val="left"/>
              <w:rPr>
                <w:rFonts w:ascii="Calibri" w:hAnsi="Calibri"/>
                <w:color w:val="auto"/>
                <w:sz w:val="20"/>
                <w:szCs w:val="20"/>
              </w:rPr>
            </w:pPr>
            <w:r w:rsidRPr="002E51B0">
              <w:rPr>
                <w:rFonts w:ascii="Calibri" w:hAnsi="Calibri"/>
                <w:color w:val="auto"/>
                <w:sz w:val="20"/>
                <w:szCs w:val="20"/>
              </w:rPr>
              <w:t>Antivirusne licence</w:t>
            </w:r>
          </w:p>
        </w:tc>
        <w:tc>
          <w:tcPr>
            <w:tcW w:w="1701" w:type="dxa"/>
            <w:tcBorders>
              <w:top w:val="nil"/>
              <w:left w:val="nil"/>
              <w:bottom w:val="single" w:sz="4" w:space="0" w:color="auto"/>
              <w:right w:val="single" w:sz="4" w:space="0" w:color="auto"/>
            </w:tcBorders>
            <w:shd w:val="clear" w:color="auto" w:fill="auto"/>
            <w:vAlign w:val="center"/>
            <w:hideMark/>
          </w:tcPr>
          <w:p w14:paraId="08FA633E" w14:textId="77777777" w:rsidR="002E51B0" w:rsidRPr="002E51B0" w:rsidRDefault="002E51B0" w:rsidP="002E51B0">
            <w:pPr>
              <w:jc w:val="right"/>
              <w:rPr>
                <w:rFonts w:ascii="Calibri" w:hAnsi="Calibri"/>
                <w:sz w:val="20"/>
                <w:szCs w:val="20"/>
              </w:rPr>
            </w:pPr>
            <w:r w:rsidRPr="002E51B0">
              <w:rPr>
                <w:rFonts w:ascii="Calibri" w:hAnsi="Calibri"/>
                <w:sz w:val="20"/>
                <w:szCs w:val="20"/>
              </w:rPr>
              <w:t>750,00</w:t>
            </w:r>
          </w:p>
        </w:tc>
        <w:tc>
          <w:tcPr>
            <w:tcW w:w="1560" w:type="dxa"/>
            <w:tcBorders>
              <w:top w:val="nil"/>
              <w:left w:val="nil"/>
              <w:bottom w:val="single" w:sz="4" w:space="0" w:color="auto"/>
              <w:right w:val="single" w:sz="4" w:space="0" w:color="auto"/>
            </w:tcBorders>
            <w:shd w:val="clear" w:color="auto" w:fill="auto"/>
            <w:noWrap/>
            <w:vAlign w:val="center"/>
            <w:hideMark/>
          </w:tcPr>
          <w:p w14:paraId="08BDF0F5"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695,86</w:t>
            </w:r>
          </w:p>
        </w:tc>
        <w:tc>
          <w:tcPr>
            <w:tcW w:w="992" w:type="dxa"/>
            <w:tcBorders>
              <w:top w:val="nil"/>
              <w:left w:val="nil"/>
              <w:bottom w:val="single" w:sz="4" w:space="0" w:color="auto"/>
              <w:right w:val="single" w:sz="4" w:space="0" w:color="auto"/>
            </w:tcBorders>
            <w:shd w:val="clear" w:color="auto" w:fill="auto"/>
            <w:noWrap/>
            <w:vAlign w:val="center"/>
            <w:hideMark/>
          </w:tcPr>
          <w:p w14:paraId="79D199A7" w14:textId="77777777" w:rsidR="002E51B0" w:rsidRPr="002E51B0" w:rsidRDefault="002E51B0" w:rsidP="002E51B0">
            <w:pPr>
              <w:jc w:val="right"/>
              <w:rPr>
                <w:rFonts w:ascii="Calibri" w:hAnsi="Calibri"/>
                <w:sz w:val="20"/>
                <w:szCs w:val="20"/>
              </w:rPr>
            </w:pPr>
            <w:r w:rsidRPr="002E51B0">
              <w:rPr>
                <w:rFonts w:ascii="Calibri" w:hAnsi="Calibri"/>
                <w:sz w:val="20"/>
                <w:szCs w:val="20"/>
              </w:rPr>
              <w:t>92,78</w:t>
            </w:r>
          </w:p>
        </w:tc>
      </w:tr>
      <w:tr w:rsidR="002E51B0" w:rsidRPr="002E51B0" w14:paraId="69354E65" w14:textId="77777777" w:rsidTr="002E51B0">
        <w:trPr>
          <w:trHeight w:val="4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63219BA"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3.6</w:t>
            </w:r>
          </w:p>
        </w:tc>
        <w:tc>
          <w:tcPr>
            <w:tcW w:w="3791" w:type="dxa"/>
            <w:tcBorders>
              <w:top w:val="nil"/>
              <w:left w:val="nil"/>
              <w:bottom w:val="single" w:sz="4" w:space="0" w:color="auto"/>
              <w:right w:val="single" w:sz="4" w:space="0" w:color="auto"/>
            </w:tcBorders>
            <w:shd w:val="clear" w:color="auto" w:fill="auto"/>
            <w:noWrap/>
            <w:vAlign w:val="center"/>
            <w:hideMark/>
          </w:tcPr>
          <w:p w14:paraId="6B11C5B7" w14:textId="77777777" w:rsidR="002E51B0" w:rsidRPr="002E51B0" w:rsidRDefault="002E51B0" w:rsidP="005D0BE8">
            <w:pPr>
              <w:jc w:val="left"/>
              <w:rPr>
                <w:rFonts w:ascii="Calibri" w:hAnsi="Calibri"/>
                <w:color w:val="auto"/>
                <w:sz w:val="20"/>
                <w:szCs w:val="20"/>
              </w:rPr>
            </w:pPr>
            <w:r w:rsidRPr="002E51B0">
              <w:rPr>
                <w:rFonts w:ascii="Calibri" w:hAnsi="Calibri"/>
                <w:color w:val="auto"/>
                <w:sz w:val="20"/>
                <w:szCs w:val="20"/>
              </w:rPr>
              <w:t xml:space="preserve">SQL server </w:t>
            </w:r>
          </w:p>
        </w:tc>
        <w:tc>
          <w:tcPr>
            <w:tcW w:w="1701" w:type="dxa"/>
            <w:tcBorders>
              <w:top w:val="nil"/>
              <w:left w:val="nil"/>
              <w:bottom w:val="single" w:sz="4" w:space="0" w:color="auto"/>
              <w:right w:val="single" w:sz="4" w:space="0" w:color="auto"/>
            </w:tcBorders>
            <w:shd w:val="clear" w:color="auto" w:fill="auto"/>
            <w:vAlign w:val="center"/>
            <w:hideMark/>
          </w:tcPr>
          <w:p w14:paraId="23DAF2D2" w14:textId="77777777" w:rsidR="002E51B0" w:rsidRPr="002E51B0" w:rsidRDefault="002E51B0" w:rsidP="002E51B0">
            <w:pPr>
              <w:jc w:val="right"/>
              <w:rPr>
                <w:rFonts w:ascii="Calibri" w:hAnsi="Calibri"/>
                <w:sz w:val="20"/>
                <w:szCs w:val="20"/>
              </w:rPr>
            </w:pPr>
            <w:r w:rsidRPr="002E51B0">
              <w:rPr>
                <w:rFonts w:ascii="Calibri" w:hAnsi="Calibri"/>
                <w:sz w:val="20"/>
                <w:szCs w:val="20"/>
              </w:rPr>
              <w:t>1.200,00</w:t>
            </w:r>
          </w:p>
        </w:tc>
        <w:tc>
          <w:tcPr>
            <w:tcW w:w="1560" w:type="dxa"/>
            <w:tcBorders>
              <w:top w:val="nil"/>
              <w:left w:val="nil"/>
              <w:bottom w:val="single" w:sz="4" w:space="0" w:color="auto"/>
              <w:right w:val="single" w:sz="4" w:space="0" w:color="auto"/>
            </w:tcBorders>
            <w:shd w:val="clear" w:color="auto" w:fill="auto"/>
            <w:noWrap/>
            <w:vAlign w:val="center"/>
            <w:hideMark/>
          </w:tcPr>
          <w:p w14:paraId="21A22726" w14:textId="77777777" w:rsidR="002E51B0" w:rsidRPr="002E51B0" w:rsidRDefault="002E51B0" w:rsidP="002E51B0">
            <w:pPr>
              <w:jc w:val="right"/>
              <w:rPr>
                <w:rFonts w:ascii="Calibri" w:hAnsi="Calibri"/>
                <w:color w:val="auto"/>
                <w:sz w:val="20"/>
                <w:szCs w:val="20"/>
              </w:rPr>
            </w:pPr>
            <w:r w:rsidRPr="002E51B0">
              <w:rPr>
                <w:rFonts w:ascii="Calibri" w:hAnsi="Calibri"/>
                <w:color w:val="auto"/>
                <w:sz w:val="20"/>
                <w:szCs w:val="20"/>
              </w:rPr>
              <w:t>0,00</w:t>
            </w:r>
          </w:p>
        </w:tc>
        <w:tc>
          <w:tcPr>
            <w:tcW w:w="992" w:type="dxa"/>
            <w:tcBorders>
              <w:top w:val="nil"/>
              <w:left w:val="nil"/>
              <w:bottom w:val="single" w:sz="4" w:space="0" w:color="auto"/>
              <w:right w:val="single" w:sz="4" w:space="0" w:color="auto"/>
            </w:tcBorders>
            <w:shd w:val="clear" w:color="auto" w:fill="auto"/>
            <w:noWrap/>
            <w:vAlign w:val="center"/>
            <w:hideMark/>
          </w:tcPr>
          <w:p w14:paraId="64C4B3DF" w14:textId="77777777" w:rsidR="002E51B0" w:rsidRPr="002E51B0" w:rsidRDefault="002E51B0" w:rsidP="002E51B0">
            <w:pPr>
              <w:jc w:val="right"/>
              <w:rPr>
                <w:rFonts w:ascii="Calibri" w:hAnsi="Calibri"/>
                <w:sz w:val="20"/>
                <w:szCs w:val="20"/>
              </w:rPr>
            </w:pPr>
            <w:r w:rsidRPr="002E51B0">
              <w:rPr>
                <w:rFonts w:ascii="Calibri" w:hAnsi="Calibri"/>
                <w:sz w:val="20"/>
                <w:szCs w:val="20"/>
              </w:rPr>
              <w:t>0,00</w:t>
            </w:r>
          </w:p>
        </w:tc>
      </w:tr>
      <w:tr w:rsidR="002E51B0" w:rsidRPr="002E51B0" w14:paraId="6D2828A4" w14:textId="77777777" w:rsidTr="002E51B0">
        <w:trPr>
          <w:trHeight w:val="315"/>
        </w:trPr>
        <w:tc>
          <w:tcPr>
            <w:tcW w:w="4551"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14:paraId="3D0D7778" w14:textId="37ED3FFF" w:rsidR="002E51B0" w:rsidRPr="002E51B0" w:rsidRDefault="000D00E0" w:rsidP="002E51B0">
            <w:pPr>
              <w:jc w:val="center"/>
              <w:rPr>
                <w:rFonts w:ascii="Calibri" w:hAnsi="Calibri"/>
                <w:b/>
                <w:bCs/>
                <w:color w:val="auto"/>
                <w:sz w:val="20"/>
                <w:szCs w:val="20"/>
              </w:rPr>
            </w:pPr>
            <w:r>
              <w:rPr>
                <w:rFonts w:ascii="Calibri" w:hAnsi="Calibri"/>
                <w:b/>
                <w:bCs/>
                <w:color w:val="auto"/>
                <w:sz w:val="20"/>
                <w:szCs w:val="20"/>
              </w:rPr>
              <w:t>UKUPNO</w:t>
            </w:r>
          </w:p>
        </w:tc>
        <w:tc>
          <w:tcPr>
            <w:tcW w:w="1701" w:type="dxa"/>
            <w:tcBorders>
              <w:top w:val="nil"/>
              <w:left w:val="nil"/>
              <w:bottom w:val="single" w:sz="4" w:space="0" w:color="auto"/>
              <w:right w:val="single" w:sz="4" w:space="0" w:color="auto"/>
            </w:tcBorders>
            <w:shd w:val="clear" w:color="000000" w:fill="8DB4E2"/>
            <w:vAlign w:val="center"/>
            <w:hideMark/>
          </w:tcPr>
          <w:p w14:paraId="48AD1D52"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36.950,00</w:t>
            </w:r>
          </w:p>
        </w:tc>
        <w:tc>
          <w:tcPr>
            <w:tcW w:w="1560" w:type="dxa"/>
            <w:tcBorders>
              <w:top w:val="nil"/>
              <w:left w:val="nil"/>
              <w:bottom w:val="single" w:sz="4" w:space="0" w:color="auto"/>
              <w:right w:val="single" w:sz="4" w:space="0" w:color="auto"/>
            </w:tcBorders>
            <w:shd w:val="clear" w:color="000000" w:fill="8DB4E2"/>
            <w:vAlign w:val="center"/>
            <w:hideMark/>
          </w:tcPr>
          <w:p w14:paraId="344AADC1"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42.604,80</w:t>
            </w:r>
          </w:p>
        </w:tc>
        <w:tc>
          <w:tcPr>
            <w:tcW w:w="992" w:type="dxa"/>
            <w:tcBorders>
              <w:top w:val="nil"/>
              <w:left w:val="nil"/>
              <w:bottom w:val="single" w:sz="4" w:space="0" w:color="auto"/>
              <w:right w:val="single" w:sz="4" w:space="0" w:color="auto"/>
            </w:tcBorders>
            <w:shd w:val="clear" w:color="000000" w:fill="8DB4E2"/>
            <w:noWrap/>
            <w:vAlign w:val="center"/>
            <w:hideMark/>
          </w:tcPr>
          <w:p w14:paraId="2FF88C39" w14:textId="77777777" w:rsidR="002E51B0" w:rsidRPr="002E51B0" w:rsidRDefault="002E51B0" w:rsidP="002E51B0">
            <w:pPr>
              <w:jc w:val="right"/>
              <w:rPr>
                <w:rFonts w:ascii="Calibri" w:hAnsi="Calibri"/>
                <w:b/>
                <w:bCs/>
                <w:sz w:val="20"/>
                <w:szCs w:val="20"/>
              </w:rPr>
            </w:pPr>
            <w:r w:rsidRPr="002E51B0">
              <w:rPr>
                <w:rFonts w:ascii="Calibri" w:hAnsi="Calibri"/>
                <w:b/>
                <w:bCs/>
                <w:sz w:val="20"/>
                <w:szCs w:val="20"/>
              </w:rPr>
              <w:t>115,30</w:t>
            </w:r>
          </w:p>
        </w:tc>
      </w:tr>
    </w:tbl>
    <w:p w14:paraId="38AC15C9" w14:textId="77777777" w:rsidR="001538EF" w:rsidRPr="005767EF" w:rsidRDefault="001538EF" w:rsidP="001538EF">
      <w:pPr>
        <w:spacing w:after="200" w:line="276" w:lineRule="auto"/>
        <w:jc w:val="left"/>
        <w:rPr>
          <w:rFonts w:asciiTheme="minorHAnsi" w:hAnsiTheme="minorHAnsi"/>
          <w:sz w:val="20"/>
          <w:szCs w:val="20"/>
          <w:lang w:val="sr-Cyrl-BA" w:eastAsia="sr-Cyrl-CS"/>
        </w:rPr>
      </w:pPr>
      <w:r w:rsidRPr="005767EF">
        <w:rPr>
          <w:rFonts w:asciiTheme="minorHAnsi" w:hAnsiTheme="minorHAnsi"/>
          <w:sz w:val="20"/>
          <w:szCs w:val="20"/>
          <w:lang w:eastAsia="sr-Cyrl-CS"/>
        </w:rPr>
        <w:br w:type="page"/>
      </w:r>
    </w:p>
    <w:p w14:paraId="3CCCA3C0" w14:textId="77777777" w:rsidR="001538EF" w:rsidRPr="005767EF" w:rsidRDefault="001538EF" w:rsidP="001538EF">
      <w:pPr>
        <w:rPr>
          <w:rFonts w:asciiTheme="minorHAnsi" w:hAnsiTheme="minorHAnsi"/>
          <w:sz w:val="20"/>
          <w:szCs w:val="20"/>
          <w:lang w:val="sr-Cyrl-BA" w:eastAsia="sr-Cyrl-CS"/>
        </w:rPr>
      </w:pPr>
    </w:p>
    <w:p w14:paraId="11B2CD87" w14:textId="02B9C3B8" w:rsidR="001538EF" w:rsidRPr="008E7C91" w:rsidRDefault="008E7C91" w:rsidP="005B6F87">
      <w:pPr>
        <w:pStyle w:val="Heading1"/>
        <w:numPr>
          <w:ilvl w:val="0"/>
          <w:numId w:val="0"/>
        </w:numPr>
        <w:ind w:left="431"/>
        <w:jc w:val="center"/>
        <w:rPr>
          <w:rFonts w:asciiTheme="minorHAnsi" w:hAnsiTheme="minorHAnsi"/>
          <w:lang w:val="sr-Latn-BA"/>
        </w:rPr>
      </w:pPr>
      <w:r>
        <w:rPr>
          <w:rFonts w:asciiTheme="minorHAnsi" w:hAnsiTheme="minorHAnsi"/>
          <w:lang w:val="sr-Latn-BA"/>
        </w:rPr>
        <w:t>ZAKLJUČAK</w:t>
      </w:r>
    </w:p>
    <w:p w14:paraId="1383602E" w14:textId="77777777" w:rsidR="00B35C5E" w:rsidRDefault="00215F23" w:rsidP="00170349">
      <w:pPr>
        <w:rPr>
          <w:rFonts w:asciiTheme="minorHAnsi" w:hAnsiTheme="minorHAnsi"/>
          <w:color w:val="000000" w:themeColor="text1"/>
          <w:sz w:val="20"/>
          <w:szCs w:val="20"/>
          <w:lang w:val="sr-Cyrl-BA"/>
        </w:rPr>
      </w:pPr>
      <w:r>
        <w:rPr>
          <w:rFonts w:asciiTheme="minorHAnsi" w:hAnsiTheme="minorHAnsi"/>
          <w:color w:val="000000" w:themeColor="text1"/>
          <w:sz w:val="20"/>
          <w:szCs w:val="20"/>
        </w:rPr>
        <w:t xml:space="preserve">Garantni fond Republike Srpske je tokom 2023. godine nastavio sa redovnim aktivnostima koje se tiču praćenja postojećih i izdavanja novih garancija, a garantna aktivnost se odvijala u tri segmenta: izdavanje pojedinačnih garancija, izdavanje garancija na kreditni portfolio i izdavanje garancija na emitovane hartije od vrijednosti. </w:t>
      </w:r>
    </w:p>
    <w:p w14:paraId="320D77AA" w14:textId="77777777" w:rsidR="00170349" w:rsidRDefault="00170349" w:rsidP="00170349">
      <w:pPr>
        <w:rPr>
          <w:rFonts w:asciiTheme="minorHAnsi" w:hAnsiTheme="minorHAnsi"/>
          <w:color w:val="000000" w:themeColor="text1"/>
          <w:sz w:val="20"/>
          <w:szCs w:val="20"/>
          <w:lang w:val="sr-Cyrl-BA"/>
        </w:rPr>
      </w:pPr>
    </w:p>
    <w:p w14:paraId="49B47C04" w14:textId="77777777" w:rsidR="00BB633C" w:rsidRPr="008D7B5A" w:rsidRDefault="00B35C5E" w:rsidP="00170349">
      <w:pPr>
        <w:rPr>
          <w:rFonts w:asciiTheme="minorHAnsi" w:hAnsiTheme="minorHAnsi"/>
          <w:color w:val="000000" w:themeColor="text1"/>
          <w:sz w:val="20"/>
          <w:szCs w:val="20"/>
          <w:lang w:val="sr-Cyrl-BA"/>
        </w:rPr>
      </w:pPr>
      <w:r w:rsidRPr="008D7B5A">
        <w:rPr>
          <w:rFonts w:asciiTheme="minorHAnsi" w:hAnsiTheme="minorHAnsi"/>
          <w:color w:val="000000" w:themeColor="text1"/>
          <w:sz w:val="20"/>
          <w:szCs w:val="20"/>
        </w:rPr>
        <w:t xml:space="preserve"> Na osnovu Ugovora o poslovno-tehničkoj saradnji potpisanih sa finansijskim posrednicima koji uz dozvolu Agencije za bankarstvo Republike Srpske posluju na području Republike Srpske i u skladu s odredbama člana 3 Pravilnika o odobravanju garancija </w:t>
      </w:r>
      <w:r w:rsidR="001538EF" w:rsidRPr="008D7B5A">
        <w:rPr>
          <w:rFonts w:asciiTheme="minorHAnsi" w:hAnsiTheme="minorHAnsi"/>
          <w:noProof/>
          <w:color w:val="000000" w:themeColor="text1"/>
          <w:sz w:val="20"/>
          <w:szCs w:val="20"/>
        </w:rPr>
        <w:t xml:space="preserve"> („Službeni glasnik Republike Srpske“, broj 14/21) </w:t>
      </w:r>
      <w:r w:rsidR="001538EF" w:rsidRPr="008D7B5A">
        <w:rPr>
          <w:rFonts w:asciiTheme="minorHAnsi" w:hAnsiTheme="minorHAnsi"/>
          <w:color w:val="000000" w:themeColor="text1"/>
          <w:sz w:val="20"/>
          <w:szCs w:val="20"/>
        </w:rPr>
        <w:t xml:space="preserve"> , Garantni fond je u 2023. godini izdao 8 pojedinačnih garancija u iznosu od 5.470.260,00 KM, čime je podržano 25.760.000,00 KM plasmana finansijskih posrednika. </w:t>
      </w:r>
    </w:p>
    <w:p w14:paraId="2C067554" w14:textId="77777777" w:rsidR="00170349" w:rsidRDefault="00170349" w:rsidP="00170349">
      <w:pPr>
        <w:rPr>
          <w:rFonts w:asciiTheme="minorHAnsi" w:hAnsiTheme="minorHAnsi"/>
          <w:color w:val="000000" w:themeColor="text1"/>
          <w:sz w:val="20"/>
          <w:szCs w:val="20"/>
          <w:lang w:val="sr-Cyrl-BA"/>
        </w:rPr>
      </w:pPr>
    </w:p>
    <w:p w14:paraId="0ECFE31F" w14:textId="77777777" w:rsidR="00215F23" w:rsidRDefault="001538EF" w:rsidP="00170349">
      <w:pPr>
        <w:rPr>
          <w:rFonts w:asciiTheme="minorHAnsi" w:hAnsiTheme="minorHAnsi"/>
          <w:color w:val="000000" w:themeColor="text1"/>
          <w:sz w:val="20"/>
          <w:szCs w:val="20"/>
          <w:lang w:val="sr-Cyrl-BA"/>
        </w:rPr>
      </w:pPr>
      <w:r w:rsidRPr="00215F23">
        <w:rPr>
          <w:rFonts w:asciiTheme="minorHAnsi" w:hAnsiTheme="minorHAnsi"/>
          <w:color w:val="000000" w:themeColor="text1"/>
          <w:sz w:val="20"/>
          <w:szCs w:val="20"/>
        </w:rPr>
        <w:t xml:space="preserve">U skladu sa potpisanim ugovorima o garantovanju kreditnog portfelja sa finansijskim posrednicima, u segmentu izdavanja garancija za obezbjeđenje dijela obaveza iz portfolija kredita, tokom 2023. godine su izdane 122 garancije u nominalnom iznosu od 14.881.000,02 KM, čime je podržano 29.762.000,036 KM plasmana finansijskih posrednika. Od 2020. godine je primjetna sve veća orijentacija finansijskih posrednika na odobravanje kredita u okviru portfolija kredita, s obzirom na brojne prednosti u vidu skraćenja procedure odobravanja i jednostavnijeg postupka za samog klijenta. Značajna prednost ovog načina odobravanja je u tome što se trošak izdavanja garancije prebacuje na finansijskog posrednika, za razliku od pojedinačnih garancija gdje troškove snosi klijent. </w:t>
      </w:r>
    </w:p>
    <w:p w14:paraId="5848DA4D" w14:textId="77777777" w:rsidR="00170349" w:rsidRPr="00215F23" w:rsidRDefault="00170349" w:rsidP="00170349">
      <w:pPr>
        <w:rPr>
          <w:rFonts w:asciiTheme="minorHAnsi" w:hAnsiTheme="minorHAnsi"/>
          <w:color w:val="000000" w:themeColor="text1"/>
          <w:sz w:val="20"/>
          <w:szCs w:val="20"/>
          <w:lang w:val="sr-Cyrl-RS"/>
        </w:rPr>
      </w:pPr>
    </w:p>
    <w:p w14:paraId="7DEBA518" w14:textId="77777777" w:rsidR="001538EF" w:rsidRDefault="001538EF" w:rsidP="00215F23">
      <w:pPr>
        <w:rPr>
          <w:rFonts w:asciiTheme="minorHAnsi" w:hAnsiTheme="minorHAnsi"/>
          <w:color w:val="000000" w:themeColor="text1"/>
          <w:sz w:val="20"/>
          <w:szCs w:val="20"/>
          <w:lang w:val="sr-Cyrl-RS"/>
        </w:rPr>
      </w:pPr>
      <w:r w:rsidRPr="00215F23">
        <w:rPr>
          <w:rFonts w:asciiTheme="minorHAnsi" w:hAnsiTheme="minorHAnsi"/>
          <w:color w:val="000000" w:themeColor="text1"/>
          <w:sz w:val="20"/>
          <w:szCs w:val="20"/>
        </w:rPr>
        <w:t xml:space="preserve">Zakonom o izmjenama i dopunama Zakona o Garantnom fondu Republike Srpske definisana je i mogućnost izdavanja garancija kojim se garantuju finansijske obaveze preduzetnika iz dužničkih hartija od vrijednosti koje preduzetnik emituje u skladu sa propisima kojim se uređuje tržište hartija od vrijednosti u postupku javne ponude. Po ovom osnovu, Skupština akcionara Garantnog fonda Republike Srpske je u 2023. godini odobrila izdavanje dvije garancije u iznosu od 1.860.000,00 KM, čime je podržana emisija hartija od vrijednosti ukupne vrijednosti 4.200.000,00 KM. </w:t>
      </w:r>
    </w:p>
    <w:p w14:paraId="542983DA" w14:textId="77777777" w:rsidR="00170349" w:rsidRDefault="00170349" w:rsidP="00215F23">
      <w:pPr>
        <w:rPr>
          <w:rFonts w:asciiTheme="minorHAnsi" w:hAnsiTheme="minorHAnsi"/>
          <w:color w:val="000000" w:themeColor="text1"/>
          <w:sz w:val="20"/>
          <w:szCs w:val="20"/>
          <w:lang w:val="sr-Cyrl-RS"/>
        </w:rPr>
      </w:pPr>
    </w:p>
    <w:p w14:paraId="57B41F08" w14:textId="77777777" w:rsidR="00646C62" w:rsidRDefault="00646C62" w:rsidP="001538EF">
      <w:pPr>
        <w:rPr>
          <w:rFonts w:asciiTheme="minorHAnsi" w:hAnsiTheme="minorHAnsi"/>
          <w:color w:val="000000" w:themeColor="text1"/>
          <w:sz w:val="20"/>
          <w:szCs w:val="20"/>
          <w:lang w:val="sr-Cyrl-BA"/>
        </w:rPr>
      </w:pPr>
      <w:r>
        <w:rPr>
          <w:rFonts w:asciiTheme="minorHAnsi" w:hAnsiTheme="minorHAnsi"/>
          <w:color w:val="000000" w:themeColor="text1"/>
          <w:sz w:val="20"/>
          <w:szCs w:val="20"/>
        </w:rPr>
        <w:t xml:space="preserve">Tokom godine, uredno su otplaćeni krediti odobreni u nominalnom iznosu od 15.086.900,00 KM, čime su van snage stavljene garancije u iznosu od 6.943.296,00 KM, te je značajno smanjena izloženost Garantnog fonda. Na dan 31.12.2023. godine, ukupna izloženost Garantnog fonda prema korisnicima garancija u tri navedena segmenta iznosi 30.708.970,37 KM i predstavlja maksimalnu potencijalnu obavezu Garantnog fonda koja se zasniva na stanju aktivnih garancija na navedeni dan. Ukupna izloženost je u okviru Zakonom dozvoljene maksimalne izloženosti koje je definisana na nivou trostruke vrijednosti osnovnog kapitala, odnosno 90.000.000,00 KM.  </w:t>
      </w:r>
    </w:p>
    <w:p w14:paraId="341751C5" w14:textId="77777777" w:rsidR="00170349" w:rsidRDefault="00170349" w:rsidP="00170349">
      <w:pPr>
        <w:rPr>
          <w:rFonts w:asciiTheme="minorHAnsi" w:hAnsiTheme="minorHAnsi"/>
          <w:color w:val="000000" w:themeColor="text1"/>
          <w:sz w:val="20"/>
          <w:szCs w:val="20"/>
          <w:lang w:val="sr-Cyrl-RS"/>
        </w:rPr>
      </w:pPr>
    </w:p>
    <w:p w14:paraId="7DA8C090" w14:textId="77777777" w:rsidR="001538EF" w:rsidRDefault="00646C62" w:rsidP="00170349">
      <w:pPr>
        <w:rPr>
          <w:rFonts w:asciiTheme="minorHAnsi" w:hAnsiTheme="minorHAnsi"/>
          <w:color w:val="000000" w:themeColor="text1"/>
          <w:sz w:val="20"/>
          <w:szCs w:val="20"/>
          <w:lang w:val="sr-Cyrl-BA"/>
        </w:rPr>
      </w:pPr>
      <w:r w:rsidRPr="00C83692">
        <w:rPr>
          <w:rFonts w:asciiTheme="minorHAnsi" w:hAnsiTheme="minorHAnsi"/>
          <w:color w:val="000000" w:themeColor="text1"/>
          <w:sz w:val="20"/>
          <w:szCs w:val="20"/>
        </w:rPr>
        <w:t>Pored navedenog, Garantni fond je u 2023. godini nastavio sa aktivnostima koje se tiču provođenja Garantnog programa Vlade Republike Srpske. Garantni fond Republike Srpske upravlja Garantnim programom u ime i za račun Republike Srpske, poštujući zakon kojim je regulisano njegovo poslovanje, Odluku o Garantnom programu i druge prateće akte. Iako je Garantni program završen 31.12.2022. godine, u smislu da nije moguće uključivanje novih kredita u portfolio, Fond je tokom 2023. godine nastavio sa aktivnostima koje se tiču praćenja stanja aktivnih kredita, vršenja terenskih kontrola i sačinjavanja mjesečnih, odnosno kvartalnih izvještaja. Pored postojećeg ljudskog kadra koji je uključen u provođenje navedenih aktivnosti, Garantni fond je izvršio i sva potrebna materijalna i nematerijalna ulaganja za efikasno praćenje Programa, uključujući kontinuirano ulaganje u softver i prateću opremu.</w:t>
      </w:r>
    </w:p>
    <w:p w14:paraId="4DF057E3" w14:textId="77777777" w:rsidR="00170349" w:rsidRDefault="00170349" w:rsidP="00170349">
      <w:pPr>
        <w:rPr>
          <w:rFonts w:asciiTheme="minorHAnsi" w:hAnsiTheme="minorHAnsi"/>
          <w:color w:val="000000" w:themeColor="text1"/>
          <w:sz w:val="20"/>
          <w:szCs w:val="20"/>
          <w:lang w:val="sr-Cyrl-BA"/>
        </w:rPr>
      </w:pPr>
    </w:p>
    <w:p w14:paraId="186877CF" w14:textId="77777777" w:rsidR="00170349" w:rsidRPr="00C83692" w:rsidRDefault="00170349" w:rsidP="00170349">
      <w:pPr>
        <w:rPr>
          <w:rFonts w:asciiTheme="minorHAnsi" w:hAnsiTheme="minorHAnsi"/>
          <w:color w:val="000000" w:themeColor="text1"/>
          <w:sz w:val="20"/>
          <w:szCs w:val="20"/>
          <w:lang w:val="sr-Cyrl-BA"/>
        </w:rPr>
      </w:pPr>
      <w:r>
        <w:rPr>
          <w:rFonts w:asciiTheme="minorHAnsi" w:hAnsiTheme="minorHAnsi"/>
          <w:color w:val="000000" w:themeColor="text1"/>
          <w:sz w:val="20"/>
          <w:szCs w:val="20"/>
        </w:rPr>
        <w:t>Garantni fond je nastavio saradnju sa Evropskom asocijacijom garantnih institucija, putem koje razmjenjuje pozitivna iskustva i prakse, te prati najnovija dešavanja na evropskom tržištu garancija.</w:t>
      </w:r>
    </w:p>
    <w:p w14:paraId="7AC8F997" w14:textId="77777777" w:rsidR="00170349" w:rsidRDefault="00170349" w:rsidP="00170349">
      <w:pPr>
        <w:rPr>
          <w:rFonts w:asciiTheme="minorHAnsi" w:hAnsiTheme="minorHAnsi"/>
          <w:color w:val="auto"/>
          <w:sz w:val="20"/>
          <w:szCs w:val="20"/>
          <w:lang w:val="sr-Cyrl-BA" w:eastAsia="sr-Cyrl-CS"/>
        </w:rPr>
      </w:pPr>
    </w:p>
    <w:p w14:paraId="0B1C1B4E" w14:textId="77777777" w:rsidR="00F67F6B" w:rsidRDefault="00F67F6B" w:rsidP="00170349">
      <w:pPr>
        <w:rPr>
          <w:rFonts w:asciiTheme="minorHAnsi" w:hAnsiTheme="minorHAnsi"/>
          <w:color w:val="auto"/>
          <w:sz w:val="20"/>
          <w:szCs w:val="20"/>
          <w:lang w:val="sr-Cyrl-BA" w:eastAsia="sr-Cyrl-CS"/>
        </w:rPr>
      </w:pPr>
    </w:p>
    <w:p w14:paraId="50504624" w14:textId="77777777" w:rsidR="001538EF" w:rsidRPr="00DA2523" w:rsidRDefault="001538EF" w:rsidP="00170349">
      <w:pPr>
        <w:rPr>
          <w:color w:val="auto"/>
          <w:lang w:val="sr-Cyrl-RS"/>
        </w:rPr>
      </w:pPr>
      <w:r w:rsidRPr="003B2D9A">
        <w:rPr>
          <w:rFonts w:asciiTheme="minorHAnsi" w:hAnsiTheme="minorHAnsi"/>
          <w:color w:val="auto"/>
          <w:sz w:val="20"/>
          <w:szCs w:val="20"/>
          <w:lang w:eastAsia="sr-Cyrl-CS"/>
        </w:rPr>
        <w:t xml:space="preserve"> U 2023. godini, Fond je ostvario ukupne prihode u iznosu od 1.276.365,06 KM. Gotovo polovinu prihoda čine prihodi iz redovne aktivnosti, odnosno prihodi od premija i provizija koji su ostvareni u iznosu od 621.123,05 KM. Na drugom mjestu su prihodi od kamata, koji su ostvareni u iznosu od 478.325,78 KM, dok su prihodi od ukidanja rezervisanja iznosili 103.851,54 KM. Ostali prihodi su ostvareni u iznosu od 73.064,69 KM.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r w:rsidRPr="00093857">
        <w:rPr>
          <w:rFonts w:ascii="Arial" w:hAnsi="Arial" w:cs="Arial"/>
          <w:color w:val="auto"/>
          <w:sz w:val="20"/>
          <w:szCs w:val="20"/>
        </w:rPr>
        <w:t xml:space="preserve">‬ </w:t>
      </w:r>
    </w:p>
    <w:p w14:paraId="329FC5DF" w14:textId="77777777" w:rsidR="00170349" w:rsidRPr="00170349" w:rsidRDefault="00170349" w:rsidP="00170349">
      <w:pPr>
        <w:rPr>
          <w:rFonts w:asciiTheme="minorHAnsi" w:hAnsiTheme="minorHAnsi"/>
          <w:color w:val="auto"/>
          <w:sz w:val="20"/>
          <w:szCs w:val="20"/>
          <w:lang w:val="sr-Cyrl-RS" w:eastAsia="sr-Cyrl-CS"/>
        </w:rPr>
      </w:pPr>
    </w:p>
    <w:p w14:paraId="3676B9FA" w14:textId="77777777" w:rsidR="001538EF" w:rsidRDefault="00DA2523" w:rsidP="00170349">
      <w:pPr>
        <w:rPr>
          <w:rFonts w:asciiTheme="minorHAnsi" w:hAnsiTheme="minorHAnsi"/>
          <w:color w:val="auto"/>
          <w:sz w:val="20"/>
          <w:szCs w:val="20"/>
          <w:lang w:val="sr-Cyrl-CS" w:eastAsia="sr-Cyrl-CS"/>
        </w:rPr>
      </w:pPr>
      <w:r>
        <w:rPr>
          <w:rFonts w:asciiTheme="minorHAnsi" w:hAnsiTheme="minorHAnsi"/>
          <w:color w:val="auto"/>
          <w:sz w:val="20"/>
          <w:szCs w:val="20"/>
          <w:lang w:eastAsia="sr-Cyrl-CS"/>
        </w:rPr>
        <w:t>Ukupni troškovi poslovanja Fonda su iznosili 1.965.356,65 KM, dok su ukupni rashodi iznosili 3.062.064,17 KM. Razliku u iznosu od 1.096.707,62 KM između ostvarenih troškova i ukupnih rashoda čine rezervisanja po vanbilansnoj aktivi u iznosu od 752.467,91 KM, rashodi kamata i naknada u iznosu od 281.097,38 KM i rashodi po osnovu prestanka priznavanja finansijskih sredstava u iznosu od 63.142,23. Troškovi poslovanja Fonda su zadržani na nivou od ranijih godina, dok je u okviru rashoda došlo do značajnog povećanja koje je najvećim dijelom uzrokovano rastom rashoda rezervisanja po vanbilansnoj aktivi,  uslijed pogoršanja finansijske pozicije određenog broja nalogodavaca garancija.</w:t>
      </w:r>
    </w:p>
    <w:p w14:paraId="03C98DFB" w14:textId="77777777" w:rsidR="00093857" w:rsidRPr="00093857" w:rsidRDefault="00093857" w:rsidP="00093857">
      <w:pPr>
        <w:ind w:firstLine="708"/>
        <w:rPr>
          <w:rFonts w:asciiTheme="minorHAnsi" w:hAnsiTheme="minorHAnsi"/>
          <w:color w:val="auto"/>
          <w:sz w:val="20"/>
          <w:szCs w:val="20"/>
          <w:lang w:val="sr-Cyrl-BA" w:eastAsia="sr-Latn-RS"/>
        </w:rPr>
      </w:pPr>
    </w:p>
    <w:p w14:paraId="665887B6" w14:textId="77777777" w:rsidR="00DA2523" w:rsidRDefault="00DA2523" w:rsidP="001538EF">
      <w:pPr>
        <w:rPr>
          <w:rFonts w:asciiTheme="minorHAnsi" w:eastAsia="Calibri" w:hAnsiTheme="minorHAnsi"/>
          <w:color w:val="000000" w:themeColor="text1"/>
          <w:sz w:val="20"/>
          <w:szCs w:val="20"/>
          <w:lang w:val="sr-Cyrl-BA" w:eastAsia="en-US"/>
        </w:rPr>
      </w:pPr>
      <w:r>
        <w:rPr>
          <w:rFonts w:asciiTheme="minorHAnsi" w:eastAsia="Calibri" w:hAnsiTheme="minorHAnsi"/>
          <w:color w:val="000000" w:themeColor="text1"/>
          <w:sz w:val="20"/>
          <w:szCs w:val="20"/>
          <w:lang w:eastAsia="en-US"/>
        </w:rPr>
        <w:t xml:space="preserve">Značajan rast ukupnih rashoda iznad nivoa ostvarenih prihoda je doveo do negativnog finansijskog rezultata u 2023. godini. Ostvareni gubitak je iznosio 1.785.699,11 KM. Ostvareni rezultat je u direktnoj vezi sa neostvarenjem plana prihoda od izdanih garancija, odnosno neostvarenjem plana garancija po svim osnovama za datu godinu i povećanjem rashoda koji se nisu mogli predvidjeti.  </w:t>
      </w:r>
    </w:p>
    <w:p w14:paraId="6D5B2D6D" w14:textId="77777777" w:rsidR="001538EF" w:rsidRPr="005D0BE8" w:rsidRDefault="001538EF" w:rsidP="001538EF">
      <w:pPr>
        <w:rPr>
          <w:rFonts w:asciiTheme="minorHAnsi" w:eastAsia="Calibri" w:hAnsiTheme="minorHAnsi"/>
          <w:color w:val="FF0000"/>
          <w:sz w:val="20"/>
          <w:szCs w:val="20"/>
          <w:lang w:val="sr-Cyrl-BA" w:eastAsia="en-US"/>
        </w:rPr>
      </w:pPr>
    </w:p>
    <w:p w14:paraId="5DEAA668" w14:textId="77777777" w:rsidR="001538EF" w:rsidRPr="00C83692" w:rsidRDefault="001538EF" w:rsidP="001538EF">
      <w:pPr>
        <w:rPr>
          <w:rFonts w:asciiTheme="minorHAnsi" w:eastAsia="Calibri" w:hAnsiTheme="minorHAnsi"/>
          <w:color w:val="000000" w:themeColor="text1"/>
          <w:sz w:val="20"/>
          <w:szCs w:val="20"/>
          <w:lang w:val="sr-Cyrl-BA" w:eastAsia="en-US"/>
        </w:rPr>
      </w:pPr>
      <w:r w:rsidRPr="00C83692">
        <w:rPr>
          <w:rFonts w:asciiTheme="minorHAnsi" w:eastAsiaTheme="minorHAnsi" w:hAnsiTheme="minorHAnsi"/>
          <w:color w:val="000000" w:themeColor="text1"/>
          <w:sz w:val="20"/>
          <w:szCs w:val="20"/>
          <w:lang w:eastAsia="en-US"/>
        </w:rPr>
        <w:t>Reviziju finansijskih izvještaja za poslovnu 2023. godinu je obavila revizorska kuća „Revizor“ d.o.o. Doboj i dostavila sledeće mišljenje:</w:t>
      </w:r>
      <w:r w:rsidRPr="00C83692">
        <w:rPr>
          <w:rFonts w:asciiTheme="minorHAnsi" w:eastAsia="Calibri" w:hAnsiTheme="minorHAnsi"/>
          <w:color w:val="000000" w:themeColor="text1"/>
          <w:sz w:val="20"/>
          <w:szCs w:val="20"/>
          <w:lang w:eastAsia="en-US"/>
        </w:rPr>
        <w:tab/>
      </w:r>
    </w:p>
    <w:p w14:paraId="0DFECEB5" w14:textId="77777777" w:rsidR="001538EF" w:rsidRPr="00C83692" w:rsidRDefault="001538EF" w:rsidP="001538EF">
      <w:pPr>
        <w:rPr>
          <w:rFonts w:asciiTheme="minorHAnsi" w:hAnsiTheme="minorHAnsi"/>
          <w:color w:val="000000" w:themeColor="text1"/>
          <w:sz w:val="20"/>
          <w:szCs w:val="20"/>
        </w:rPr>
      </w:pPr>
      <w:r w:rsidRPr="00C83692">
        <w:rPr>
          <w:rFonts w:asciiTheme="minorHAnsi" w:hAnsiTheme="minorHAnsi"/>
          <w:color w:val="000000" w:themeColor="text1"/>
          <w:sz w:val="20"/>
          <w:szCs w:val="20"/>
        </w:rPr>
        <w:t xml:space="preserve"> „Po našem mišljenju, priloženi finansijski izvještaji prikazuju </w:t>
      </w:r>
      <w:r w:rsidRPr="00C83692">
        <w:rPr>
          <w:rFonts w:asciiTheme="minorHAnsi" w:hAnsiTheme="minorHAnsi"/>
          <w:b/>
          <w:color w:val="000000" w:themeColor="text1"/>
          <w:sz w:val="20"/>
          <w:szCs w:val="20"/>
        </w:rPr>
        <w:t xml:space="preserve">  istinito i objektivno  </w:t>
      </w:r>
      <w:r w:rsidRPr="00C83692">
        <w:rPr>
          <w:rFonts w:asciiTheme="minorHAnsi" w:hAnsiTheme="minorHAnsi"/>
          <w:color w:val="000000" w:themeColor="text1"/>
          <w:sz w:val="20"/>
          <w:szCs w:val="20"/>
        </w:rPr>
        <w:t xml:space="preserve">, po svim materijalno značajnim pitanjima, finansijsko stanje Fonda, na dan 31. decembra 2023.  godine , rezultate njegovog poslovanja i novčane tokove za godinu koja se završava na taj dan, u skladu s računovodstvenim propisima Republike Srpske“. </w:t>
      </w:r>
    </w:p>
    <w:p w14:paraId="034CB0F4" w14:textId="77777777" w:rsidR="001538EF" w:rsidRPr="005D0BE8" w:rsidRDefault="001538EF" w:rsidP="001538EF">
      <w:pPr>
        <w:autoSpaceDE w:val="0"/>
        <w:autoSpaceDN w:val="0"/>
        <w:adjustRightInd w:val="0"/>
        <w:jc w:val="left"/>
        <w:rPr>
          <w:rFonts w:asciiTheme="minorHAnsi" w:eastAsiaTheme="minorHAnsi" w:hAnsiTheme="minorHAnsi"/>
          <w:color w:val="FF0000"/>
          <w:sz w:val="20"/>
          <w:szCs w:val="20"/>
          <w:lang w:val="sr-Latn-RS" w:eastAsia="en-US"/>
        </w:rPr>
      </w:pPr>
    </w:p>
    <w:p w14:paraId="302D20C9" w14:textId="77777777" w:rsidR="001538EF" w:rsidRPr="00C83692" w:rsidRDefault="001538EF" w:rsidP="001538EF">
      <w:pPr>
        <w:autoSpaceDE w:val="0"/>
        <w:autoSpaceDN w:val="0"/>
        <w:adjustRightInd w:val="0"/>
        <w:rPr>
          <w:rFonts w:asciiTheme="minorHAnsi" w:eastAsiaTheme="minorHAnsi" w:hAnsiTheme="minorHAnsi"/>
          <w:color w:val="000000" w:themeColor="text1"/>
          <w:sz w:val="20"/>
          <w:szCs w:val="20"/>
          <w:lang w:val="sr-Latn-RS" w:eastAsia="en-US"/>
        </w:rPr>
      </w:pPr>
      <w:r w:rsidRPr="00C83692">
        <w:rPr>
          <w:rFonts w:asciiTheme="minorHAnsi" w:eastAsiaTheme="minorHAnsi" w:hAnsiTheme="minorHAnsi"/>
          <w:color w:val="000000" w:themeColor="text1"/>
          <w:sz w:val="20"/>
          <w:szCs w:val="20"/>
          <w:lang w:eastAsia="en-US"/>
        </w:rPr>
        <w:t xml:space="preserve">U skladu sa odredbom člana 30. stav 1. tačka. Statuta Garantnog fonda Republike Srpske a.d. Banja Luka, ovaj Nacrt Izvještaja o radu i poslovanju za 2023. godinu usvaja Skupština akcionara, a isti nakon usvajanja, u skladu sa odredbom člana 27. Zakona o Garantnom fondu Republike Srpske dostavlja na razmatranje i usvajanje Narodnoj Skupštini Republike Srpske. </w:t>
      </w:r>
    </w:p>
    <w:p w14:paraId="4E4F95F0" w14:textId="77777777" w:rsidR="001538EF" w:rsidRPr="005767EF" w:rsidRDefault="001538EF" w:rsidP="001538EF">
      <w:pPr>
        <w:autoSpaceDE w:val="0"/>
        <w:autoSpaceDN w:val="0"/>
        <w:adjustRightInd w:val="0"/>
        <w:rPr>
          <w:rFonts w:asciiTheme="minorHAnsi" w:eastAsiaTheme="minorHAnsi" w:hAnsiTheme="minorHAnsi"/>
          <w:sz w:val="20"/>
          <w:szCs w:val="20"/>
          <w:lang w:val="sr-Latn-RS" w:eastAsia="en-US"/>
        </w:rPr>
      </w:pPr>
    </w:p>
    <w:p w14:paraId="5E37FDA4" w14:textId="77777777" w:rsidR="001538EF" w:rsidRPr="005767EF" w:rsidRDefault="001538EF" w:rsidP="001538EF">
      <w:pPr>
        <w:autoSpaceDE w:val="0"/>
        <w:autoSpaceDN w:val="0"/>
        <w:adjustRightInd w:val="0"/>
        <w:rPr>
          <w:rFonts w:asciiTheme="minorHAnsi" w:eastAsiaTheme="minorHAnsi" w:hAnsiTheme="minorHAnsi"/>
          <w:sz w:val="20"/>
          <w:szCs w:val="20"/>
          <w:lang w:val="sr-Latn-RS" w:eastAsia="en-US"/>
        </w:rPr>
      </w:pPr>
    </w:p>
    <w:p w14:paraId="250A542C" w14:textId="77777777" w:rsidR="001538EF" w:rsidRPr="005767EF" w:rsidRDefault="001538EF" w:rsidP="001538EF">
      <w:pPr>
        <w:autoSpaceDE w:val="0"/>
        <w:autoSpaceDN w:val="0"/>
        <w:adjustRightInd w:val="0"/>
        <w:rPr>
          <w:rFonts w:asciiTheme="minorHAnsi" w:eastAsiaTheme="minorHAnsi" w:hAnsiTheme="minorHAnsi"/>
          <w:sz w:val="20"/>
          <w:szCs w:val="20"/>
          <w:lang w:val="sr-Latn-RS" w:eastAsia="en-US"/>
        </w:rPr>
      </w:pPr>
    </w:p>
    <w:p w14:paraId="184BDC6D" w14:textId="77777777" w:rsidR="001538EF" w:rsidRPr="00C83692" w:rsidRDefault="001538EF" w:rsidP="001538EF">
      <w:pPr>
        <w:autoSpaceDE w:val="0"/>
        <w:autoSpaceDN w:val="0"/>
        <w:adjustRightInd w:val="0"/>
        <w:jc w:val="left"/>
        <w:rPr>
          <w:rFonts w:asciiTheme="minorHAnsi" w:eastAsiaTheme="minorHAnsi" w:hAnsiTheme="minorHAnsi"/>
          <w:sz w:val="20"/>
          <w:szCs w:val="20"/>
          <w:lang w:val="sr-Cyrl-RS" w:eastAsia="en-US"/>
        </w:rPr>
      </w:pPr>
      <w:r w:rsidRPr="005767EF">
        <w:rPr>
          <w:rFonts w:asciiTheme="minorHAnsi" w:eastAsiaTheme="minorHAnsi" w:hAnsiTheme="minorHAnsi"/>
          <w:sz w:val="20"/>
          <w:szCs w:val="20"/>
          <w:lang w:eastAsia="en-US"/>
        </w:rPr>
        <w:t>Broj: 02-167/24</w:t>
      </w:r>
    </w:p>
    <w:p w14:paraId="3153FD2B" w14:textId="77777777" w:rsidR="001538EF" w:rsidRPr="006F5BAE" w:rsidRDefault="001538EF" w:rsidP="001538EF">
      <w:pPr>
        <w:autoSpaceDE w:val="0"/>
        <w:autoSpaceDN w:val="0"/>
        <w:adjustRightInd w:val="0"/>
        <w:jc w:val="left"/>
        <w:rPr>
          <w:rFonts w:asciiTheme="minorHAnsi" w:eastAsiaTheme="minorHAnsi" w:hAnsiTheme="minorHAnsi"/>
          <w:color w:val="auto"/>
          <w:sz w:val="20"/>
          <w:szCs w:val="20"/>
          <w:lang w:val="sr-Latn-RS" w:eastAsia="en-US"/>
        </w:rPr>
      </w:pPr>
      <w:r w:rsidRPr="006F5BAE">
        <w:rPr>
          <w:rFonts w:asciiTheme="minorHAnsi" w:eastAsiaTheme="minorHAnsi" w:hAnsiTheme="minorHAnsi"/>
          <w:color w:val="auto"/>
          <w:sz w:val="20"/>
          <w:szCs w:val="20"/>
          <w:lang w:eastAsia="en-US"/>
        </w:rPr>
        <w:t xml:space="preserve">Dana : 19.06.2024. godine </w:t>
      </w:r>
    </w:p>
    <w:p w14:paraId="7E241D9B" w14:textId="77777777" w:rsidR="001538EF" w:rsidRPr="005767EF" w:rsidRDefault="001538EF" w:rsidP="001538EF">
      <w:pPr>
        <w:rPr>
          <w:rFonts w:asciiTheme="minorHAnsi" w:hAnsiTheme="minorHAnsi"/>
          <w:b/>
          <w:caps/>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00C83692">
        <w:rPr>
          <w:rFonts w:asciiTheme="minorHAnsi" w:hAnsiTheme="minorHAnsi"/>
          <w:sz w:val="20"/>
          <w:szCs w:val="20"/>
        </w:rPr>
        <w:t xml:space="preserve">                         </w:t>
      </w:r>
      <w:r w:rsidRPr="005767EF">
        <w:rPr>
          <w:rFonts w:asciiTheme="minorHAnsi" w:hAnsiTheme="minorHAnsi"/>
          <w:b/>
          <w:caps/>
          <w:sz w:val="20"/>
          <w:szCs w:val="20"/>
        </w:rPr>
        <w:t>Garantni fond Republike Srpske</w:t>
      </w:r>
    </w:p>
    <w:p w14:paraId="4A90ABFC" w14:textId="77777777"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p>
    <w:p w14:paraId="2B22B2F2" w14:textId="77777777"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t xml:space="preserve">                                        _________________________________</w:t>
      </w:r>
    </w:p>
    <w:p w14:paraId="6D37C3EE" w14:textId="77777777"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00C83692">
        <w:rPr>
          <w:rFonts w:asciiTheme="minorHAnsi" w:hAnsiTheme="minorHAnsi"/>
          <w:sz w:val="20"/>
          <w:szCs w:val="20"/>
        </w:rPr>
        <w:t xml:space="preserve"> </w:t>
      </w:r>
      <w:r w:rsidRPr="005767EF">
        <w:rPr>
          <w:rFonts w:asciiTheme="minorHAnsi" w:hAnsiTheme="minorHAnsi"/>
          <w:sz w:val="20"/>
          <w:szCs w:val="20"/>
        </w:rPr>
        <w:tab/>
      </w:r>
      <w:r w:rsidRPr="005767EF">
        <w:rPr>
          <w:rFonts w:asciiTheme="minorHAnsi" w:hAnsiTheme="minorHAnsi"/>
          <w:sz w:val="20"/>
          <w:szCs w:val="20"/>
        </w:rPr>
        <w:tab/>
        <w:t xml:space="preserve">   </w:t>
      </w:r>
      <w:r w:rsidRPr="005767EF">
        <w:rPr>
          <w:rFonts w:asciiTheme="minorHAnsi" w:hAnsiTheme="minorHAnsi"/>
          <w:sz w:val="20"/>
          <w:szCs w:val="20"/>
        </w:rPr>
        <w:tab/>
      </w:r>
    </w:p>
    <w:p w14:paraId="0F646F62" w14:textId="108E493C"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rPr>
        <w:t xml:space="preserve">                                                                                                              </w:t>
      </w:r>
      <w:r w:rsidR="00A52A18">
        <w:rPr>
          <w:rFonts w:asciiTheme="minorHAnsi" w:hAnsiTheme="minorHAnsi"/>
          <w:sz w:val="20"/>
          <w:szCs w:val="20"/>
        </w:rPr>
        <w:t xml:space="preserve">                               v.d.  d</w:t>
      </w:r>
      <w:r w:rsidRPr="005767EF">
        <w:rPr>
          <w:rFonts w:asciiTheme="minorHAnsi" w:hAnsiTheme="minorHAnsi"/>
          <w:sz w:val="20"/>
          <w:szCs w:val="20"/>
        </w:rPr>
        <w:t>irektor</w:t>
      </w:r>
    </w:p>
    <w:p w14:paraId="1B11C810" w14:textId="0247B025"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00C83692">
        <w:rPr>
          <w:rFonts w:asciiTheme="minorHAnsi" w:hAnsiTheme="minorHAnsi"/>
          <w:sz w:val="20"/>
          <w:szCs w:val="20"/>
        </w:rPr>
        <w:t xml:space="preserve">          </w:t>
      </w:r>
      <w:r w:rsidR="00A52A18">
        <w:rPr>
          <w:rFonts w:asciiTheme="minorHAnsi" w:hAnsiTheme="minorHAnsi"/>
          <w:sz w:val="20"/>
          <w:szCs w:val="20"/>
        </w:rPr>
        <w:t xml:space="preserve">                  </w:t>
      </w:r>
      <w:bookmarkStart w:id="20" w:name="_GoBack"/>
      <w:bookmarkEnd w:id="20"/>
      <w:r w:rsidR="00A52A18">
        <w:rPr>
          <w:rFonts w:asciiTheme="minorHAnsi" w:hAnsiTheme="minorHAnsi"/>
          <w:sz w:val="20"/>
          <w:szCs w:val="20"/>
        </w:rPr>
        <w:t xml:space="preserve">   Neven Bućan</w:t>
      </w:r>
    </w:p>
    <w:p w14:paraId="1434CFE7" w14:textId="77777777" w:rsidR="001538EF" w:rsidRPr="001538EF" w:rsidRDefault="001538EF" w:rsidP="001538EF">
      <w:pPr>
        <w:rPr>
          <w:sz w:val="22"/>
          <w:szCs w:val="22"/>
          <w:lang w:val="sr-Cyrl-CS" w:eastAsia="sr-Cyrl-CS"/>
        </w:rPr>
      </w:pPr>
    </w:p>
    <w:p w14:paraId="49188C56" w14:textId="54717F75" w:rsidR="005F70EB" w:rsidRPr="001538EF" w:rsidRDefault="005F70EB"/>
    <w:sectPr w:rsidR="005F70EB" w:rsidRPr="001538EF" w:rsidSect="00C12ECB">
      <w:headerReference w:type="default" r:id="rId9"/>
      <w:footerReference w:type="default" r:id="rId10"/>
      <w:pgSz w:w="11906" w:h="16838" w:code="9"/>
      <w:pgMar w:top="1418" w:right="1418"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F66A9" w14:textId="77777777" w:rsidR="00FD6568" w:rsidRDefault="00FD6568" w:rsidP="001538EF">
      <w:r>
        <w:separator/>
      </w:r>
    </w:p>
  </w:endnote>
  <w:endnote w:type="continuationSeparator" w:id="0">
    <w:p w14:paraId="042525D9" w14:textId="77777777" w:rsidR="00FD6568" w:rsidRDefault="00FD6568" w:rsidP="0015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MPEGO+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66804"/>
      <w:docPartObj>
        <w:docPartGallery w:val="Page Numbers (Bottom of Page)"/>
        <w:docPartUnique/>
      </w:docPartObj>
    </w:sdtPr>
    <w:sdtEndPr>
      <w:rPr>
        <w:noProof/>
      </w:rPr>
    </w:sdtEndPr>
    <w:sdtContent>
      <w:p w14:paraId="09E34638" w14:textId="721C92CE" w:rsidR="00F10264" w:rsidRDefault="00F10264" w:rsidP="001538EF">
        <w:pPr>
          <w:pStyle w:val="Footer"/>
          <w:pBdr>
            <w:top w:val="single" w:sz="4" w:space="1" w:color="auto"/>
          </w:pBdr>
          <w:jc w:val="right"/>
        </w:pPr>
        <w:r>
          <w:fldChar w:fldCharType="begin"/>
        </w:r>
        <w:r>
          <w:instrText xml:space="preserve"> PAGE   \* MERGEFORMAT </w:instrText>
        </w:r>
        <w:r>
          <w:fldChar w:fldCharType="separate"/>
        </w:r>
        <w:r w:rsidR="00A52A18">
          <w:rPr>
            <w:noProof/>
          </w:rPr>
          <w:t>37</w:t>
        </w:r>
        <w:r>
          <w:rPr>
            <w:noProof/>
          </w:rPr>
          <w:fldChar w:fldCharType="end"/>
        </w:r>
      </w:p>
    </w:sdtContent>
  </w:sdt>
  <w:p w14:paraId="6F099AB9" w14:textId="77777777" w:rsidR="00F10264" w:rsidRDefault="00F102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63545" w14:textId="77777777" w:rsidR="00FD6568" w:rsidRDefault="00FD6568" w:rsidP="001538EF">
      <w:r>
        <w:separator/>
      </w:r>
    </w:p>
  </w:footnote>
  <w:footnote w:type="continuationSeparator" w:id="0">
    <w:p w14:paraId="75DA967A" w14:textId="77777777" w:rsidR="00FD6568" w:rsidRDefault="00FD6568" w:rsidP="00153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F1DB5" w14:textId="127206B9" w:rsidR="00A0401A" w:rsidRPr="005443CD" w:rsidRDefault="003F3226" w:rsidP="00E306B3">
    <w:pPr>
      <w:pStyle w:val="Header"/>
      <w:pBdr>
        <w:bottom w:val="single" w:sz="4" w:space="1" w:color="auto"/>
      </w:pBdr>
      <w:tabs>
        <w:tab w:val="clear" w:pos="4320"/>
        <w:tab w:val="clear" w:pos="8640"/>
        <w:tab w:val="right" w:pos="9356"/>
      </w:tabs>
      <w:jc w:val="left"/>
      <w:rPr>
        <w:i/>
        <w:color w:val="000000" w:themeColor="text1"/>
        <w:sz w:val="20"/>
        <w:szCs w:val="20"/>
      </w:rPr>
    </w:pPr>
    <w:r>
      <w:rPr>
        <w:noProof/>
        <w:lang w:val="en-US" w:eastAsia="en-US"/>
      </w:rPr>
      <w:drawing>
        <wp:inline distT="0" distB="0" distL="0" distR="0" wp14:anchorId="438F79ED" wp14:editId="72454CDD">
          <wp:extent cx="802005" cy="322580"/>
          <wp:effectExtent l="0" t="0" r="0" b="127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2005" cy="322580"/>
                  </a:xfrm>
                  <a:prstGeom prst="rect">
                    <a:avLst/>
                  </a:prstGeom>
                </pic:spPr>
              </pic:pic>
            </a:graphicData>
          </a:graphic>
        </wp:inline>
      </w:drawing>
    </w:r>
    <w:r w:rsidR="00A0401A">
      <w:rPr>
        <w:i/>
        <w:color w:val="000000" w:themeColor="text1"/>
        <w:sz w:val="20"/>
        <w:szCs w:val="20"/>
      </w:rPr>
      <w:t xml:space="preserve">                              Izveštaj o radu i poslovanju Garantni fond RS za 2023. godinu</w:t>
    </w:r>
  </w:p>
  <w:p w14:paraId="7A6DA091" w14:textId="68C06EFF" w:rsidR="00F10264" w:rsidRPr="005443CD" w:rsidRDefault="00F10264" w:rsidP="001538EF">
    <w:pPr>
      <w:pStyle w:val="Header"/>
      <w:pBdr>
        <w:bottom w:val="single" w:sz="4" w:space="1" w:color="auto"/>
      </w:pBdr>
      <w:tabs>
        <w:tab w:val="clear" w:pos="4320"/>
        <w:tab w:val="clear" w:pos="8640"/>
        <w:tab w:val="right" w:pos="9356"/>
      </w:tabs>
      <w:jc w:val="left"/>
      <w:rPr>
        <w:i/>
        <w:color w:val="000000" w:themeColor="text1"/>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92F"/>
    <w:multiLevelType w:val="hybridMultilevel"/>
    <w:tmpl w:val="02CCC8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7656FF1"/>
    <w:multiLevelType w:val="multilevel"/>
    <w:tmpl w:val="84D2EA00"/>
    <w:styleLink w:val="Stil2"/>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2" w15:restartNumberingAfterBreak="0">
    <w:nsid w:val="08350EA9"/>
    <w:multiLevelType w:val="hybridMultilevel"/>
    <w:tmpl w:val="5D841CB0"/>
    <w:lvl w:ilvl="0" w:tplc="241A0001">
      <w:start w:val="1"/>
      <w:numFmt w:val="bullet"/>
      <w:lvlText w:val=""/>
      <w:lvlJc w:val="left"/>
      <w:pPr>
        <w:ind w:left="1068" w:hanging="360"/>
      </w:pPr>
      <w:rPr>
        <w:rFonts w:ascii="Symbol" w:hAnsi="Symbol" w:hint="default"/>
      </w:rPr>
    </w:lvl>
    <w:lvl w:ilvl="1" w:tplc="241A0003">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3" w15:restartNumberingAfterBreak="0">
    <w:nsid w:val="0C2636D8"/>
    <w:multiLevelType w:val="multilevel"/>
    <w:tmpl w:val="B9466AC8"/>
    <w:styleLink w:val="Stil1"/>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EA5509"/>
    <w:multiLevelType w:val="hybridMultilevel"/>
    <w:tmpl w:val="12CA3598"/>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5" w15:restartNumberingAfterBreak="0">
    <w:nsid w:val="15B20AC2"/>
    <w:multiLevelType w:val="hybridMultilevel"/>
    <w:tmpl w:val="C4B863D8"/>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 w15:restartNumberingAfterBreak="0">
    <w:nsid w:val="29376F85"/>
    <w:multiLevelType w:val="hybridMultilevel"/>
    <w:tmpl w:val="26AC2148"/>
    <w:lvl w:ilvl="0" w:tplc="C17676FC">
      <w:numFmt w:val="bullet"/>
      <w:lvlText w:val="-"/>
      <w:lvlJc w:val="left"/>
      <w:pPr>
        <w:ind w:left="1428"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7" w15:restartNumberingAfterBreak="0">
    <w:nsid w:val="2C67189E"/>
    <w:multiLevelType w:val="hybridMultilevel"/>
    <w:tmpl w:val="4BD6B5F6"/>
    <w:lvl w:ilvl="0" w:tplc="239452E8">
      <w:start w:val="1"/>
      <w:numFmt w:val="upperRoman"/>
      <w:pStyle w:val="Glava"/>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 w15:restartNumberingAfterBreak="0">
    <w:nsid w:val="2CCD5E83"/>
    <w:multiLevelType w:val="hybridMultilevel"/>
    <w:tmpl w:val="2DC65746"/>
    <w:lvl w:ilvl="0" w:tplc="C17676FC">
      <w:numFmt w:val="bullet"/>
      <w:lvlText w:val="-"/>
      <w:lvlJc w:val="left"/>
      <w:pPr>
        <w:ind w:left="2892"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612" w:hanging="360"/>
      </w:pPr>
      <w:rPr>
        <w:rFonts w:ascii="Courier New" w:hAnsi="Courier New" w:cs="Courier New" w:hint="default"/>
      </w:rPr>
    </w:lvl>
    <w:lvl w:ilvl="2" w:tplc="241A0005" w:tentative="1">
      <w:start w:val="1"/>
      <w:numFmt w:val="bullet"/>
      <w:lvlText w:val=""/>
      <w:lvlJc w:val="left"/>
      <w:pPr>
        <w:ind w:left="4332" w:hanging="360"/>
      </w:pPr>
      <w:rPr>
        <w:rFonts w:ascii="Wingdings" w:hAnsi="Wingdings" w:hint="default"/>
      </w:rPr>
    </w:lvl>
    <w:lvl w:ilvl="3" w:tplc="241A0001" w:tentative="1">
      <w:start w:val="1"/>
      <w:numFmt w:val="bullet"/>
      <w:lvlText w:val=""/>
      <w:lvlJc w:val="left"/>
      <w:pPr>
        <w:ind w:left="5052" w:hanging="360"/>
      </w:pPr>
      <w:rPr>
        <w:rFonts w:ascii="Symbol" w:hAnsi="Symbol" w:hint="default"/>
      </w:rPr>
    </w:lvl>
    <w:lvl w:ilvl="4" w:tplc="241A0003" w:tentative="1">
      <w:start w:val="1"/>
      <w:numFmt w:val="bullet"/>
      <w:lvlText w:val="o"/>
      <w:lvlJc w:val="left"/>
      <w:pPr>
        <w:ind w:left="5772" w:hanging="360"/>
      </w:pPr>
      <w:rPr>
        <w:rFonts w:ascii="Courier New" w:hAnsi="Courier New" w:cs="Courier New" w:hint="default"/>
      </w:rPr>
    </w:lvl>
    <w:lvl w:ilvl="5" w:tplc="241A0005" w:tentative="1">
      <w:start w:val="1"/>
      <w:numFmt w:val="bullet"/>
      <w:lvlText w:val=""/>
      <w:lvlJc w:val="left"/>
      <w:pPr>
        <w:ind w:left="6492" w:hanging="360"/>
      </w:pPr>
      <w:rPr>
        <w:rFonts w:ascii="Wingdings" w:hAnsi="Wingdings" w:hint="default"/>
      </w:rPr>
    </w:lvl>
    <w:lvl w:ilvl="6" w:tplc="241A0001" w:tentative="1">
      <w:start w:val="1"/>
      <w:numFmt w:val="bullet"/>
      <w:lvlText w:val=""/>
      <w:lvlJc w:val="left"/>
      <w:pPr>
        <w:ind w:left="7212" w:hanging="360"/>
      </w:pPr>
      <w:rPr>
        <w:rFonts w:ascii="Symbol" w:hAnsi="Symbol" w:hint="default"/>
      </w:rPr>
    </w:lvl>
    <w:lvl w:ilvl="7" w:tplc="241A0003" w:tentative="1">
      <w:start w:val="1"/>
      <w:numFmt w:val="bullet"/>
      <w:lvlText w:val="o"/>
      <w:lvlJc w:val="left"/>
      <w:pPr>
        <w:ind w:left="7932" w:hanging="360"/>
      </w:pPr>
      <w:rPr>
        <w:rFonts w:ascii="Courier New" w:hAnsi="Courier New" w:cs="Courier New" w:hint="default"/>
      </w:rPr>
    </w:lvl>
    <w:lvl w:ilvl="8" w:tplc="241A0005" w:tentative="1">
      <w:start w:val="1"/>
      <w:numFmt w:val="bullet"/>
      <w:lvlText w:val=""/>
      <w:lvlJc w:val="left"/>
      <w:pPr>
        <w:ind w:left="8652" w:hanging="360"/>
      </w:pPr>
      <w:rPr>
        <w:rFonts w:ascii="Wingdings" w:hAnsi="Wingdings" w:hint="default"/>
      </w:rPr>
    </w:lvl>
  </w:abstractNum>
  <w:abstractNum w:abstractNumId="9" w15:restartNumberingAfterBreak="0">
    <w:nsid w:val="322E4E1E"/>
    <w:multiLevelType w:val="hybridMultilevel"/>
    <w:tmpl w:val="9E56F0B2"/>
    <w:lvl w:ilvl="0" w:tplc="78724BCE">
      <w:start w:val="1"/>
      <w:numFmt w:val="bullet"/>
      <w:lvlText w:val=""/>
      <w:lvlJc w:val="left"/>
      <w:pPr>
        <w:ind w:left="72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35497277"/>
    <w:multiLevelType w:val="hybridMultilevel"/>
    <w:tmpl w:val="0BE2614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60F08F4"/>
    <w:multiLevelType w:val="hybridMultilevel"/>
    <w:tmpl w:val="369A2B6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15:restartNumberingAfterBreak="0">
    <w:nsid w:val="3E6322C7"/>
    <w:multiLevelType w:val="multilevel"/>
    <w:tmpl w:val="6902FC4C"/>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576" w:hanging="576"/>
      </w:pPr>
    </w:lvl>
    <w:lvl w:ilvl="2">
      <w:start w:val="1"/>
      <w:numFmt w:val="decimal"/>
      <w:pStyle w:val="Heading31"/>
      <w:lvlText w:val="%1.%2.%3"/>
      <w:lvlJc w:val="left"/>
      <w:pPr>
        <w:ind w:left="720" w:hanging="720"/>
      </w:pPr>
    </w:lvl>
    <w:lvl w:ilvl="3">
      <w:start w:val="1"/>
      <w:numFmt w:val="decimal"/>
      <w:pStyle w:val="Heading41"/>
      <w:lvlText w:val="%1.%2.%3.%4"/>
      <w:lvlJc w:val="left"/>
      <w:pPr>
        <w:ind w:left="864"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13" w15:restartNumberingAfterBreak="0">
    <w:nsid w:val="461E3AD3"/>
    <w:multiLevelType w:val="hybridMultilevel"/>
    <w:tmpl w:val="709ECA5C"/>
    <w:lvl w:ilvl="0" w:tplc="AE06C1BA">
      <w:start w:val="1"/>
      <w:numFmt w:val="decimal"/>
      <w:pStyle w:val="lan"/>
      <w:lvlText w:val="Члан %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15:restartNumberingAfterBreak="0">
    <w:nsid w:val="4A8505C1"/>
    <w:multiLevelType w:val="multilevel"/>
    <w:tmpl w:val="AEBC09C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4C6D3AAE"/>
    <w:multiLevelType w:val="hybridMultilevel"/>
    <w:tmpl w:val="F24CD894"/>
    <w:lvl w:ilvl="0" w:tplc="181A0001">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500219D3"/>
    <w:multiLevelType w:val="hybridMultilevel"/>
    <w:tmpl w:val="F9305886"/>
    <w:lvl w:ilvl="0" w:tplc="9DA40474">
      <w:start w:val="1"/>
      <w:numFmt w:val="decimal"/>
      <w:pStyle w:val="Num-Stav"/>
      <w:lvlText w:val="(%1)"/>
      <w:lvlJc w:val="left"/>
      <w:pPr>
        <w:ind w:left="360" w:hanging="360"/>
      </w:pPr>
      <w:rPr>
        <w:rFonts w:hint="default"/>
        <w:b w:val="0"/>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17" w15:restartNumberingAfterBreak="0">
    <w:nsid w:val="50C3099D"/>
    <w:multiLevelType w:val="hybridMultilevel"/>
    <w:tmpl w:val="1D78C5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8" w15:restartNumberingAfterBreak="0">
    <w:nsid w:val="55BD7D54"/>
    <w:multiLevelType w:val="hybridMultilevel"/>
    <w:tmpl w:val="8102BFF0"/>
    <w:lvl w:ilvl="0" w:tplc="241A0001">
      <w:start w:val="1"/>
      <w:numFmt w:val="bullet"/>
      <w:lvlText w:val=""/>
      <w:lvlJc w:val="left"/>
      <w:pPr>
        <w:ind w:left="720" w:hanging="360"/>
      </w:pPr>
      <w:rPr>
        <w:rFonts w:ascii="Symbol" w:hAnsi="Symbol"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9" w15:restartNumberingAfterBreak="0">
    <w:nsid w:val="564C6828"/>
    <w:multiLevelType w:val="hybridMultilevel"/>
    <w:tmpl w:val="436C17F6"/>
    <w:lvl w:ilvl="0" w:tplc="9F96AC44">
      <w:start w:val="1"/>
      <w:numFmt w:val="bullet"/>
      <w:pStyle w:val="Oznacavanje"/>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8087FD2"/>
    <w:multiLevelType w:val="multilevel"/>
    <w:tmpl w:val="4EAEDADC"/>
    <w:styleLink w:val="Stil5"/>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21" w15:restartNumberingAfterBreak="0">
    <w:nsid w:val="65814A95"/>
    <w:multiLevelType w:val="hybridMultilevel"/>
    <w:tmpl w:val="FBF21E6E"/>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abstractNum w:abstractNumId="22" w15:restartNumberingAfterBreak="0">
    <w:nsid w:val="65A114D6"/>
    <w:multiLevelType w:val="hybridMultilevel"/>
    <w:tmpl w:val="0E32D336"/>
    <w:lvl w:ilvl="0" w:tplc="C17676FC">
      <w:numFmt w:val="bullet"/>
      <w:lvlText w:val="-"/>
      <w:lvlJc w:val="left"/>
      <w:pPr>
        <w:ind w:left="2148" w:hanging="360"/>
      </w:pPr>
      <w:rPr>
        <w:rFonts w:ascii="Times New Roman" w:eastAsia="Times New Roman" w:hAnsi="Times New Roman" w:cs="Times New Roman" w:hint="default"/>
        <w:spacing w:val="-2"/>
        <w:w w:val="99"/>
        <w:sz w:val="18"/>
        <w:szCs w:val="18"/>
      </w:rPr>
    </w:lvl>
    <w:lvl w:ilvl="1" w:tplc="181A0003" w:tentative="1">
      <w:start w:val="1"/>
      <w:numFmt w:val="bullet"/>
      <w:lvlText w:val="o"/>
      <w:lvlJc w:val="left"/>
      <w:pPr>
        <w:ind w:left="2868" w:hanging="360"/>
      </w:pPr>
      <w:rPr>
        <w:rFonts w:ascii="Courier New" w:hAnsi="Courier New" w:cs="Courier New" w:hint="default"/>
      </w:rPr>
    </w:lvl>
    <w:lvl w:ilvl="2" w:tplc="181A0005" w:tentative="1">
      <w:start w:val="1"/>
      <w:numFmt w:val="bullet"/>
      <w:lvlText w:val=""/>
      <w:lvlJc w:val="left"/>
      <w:pPr>
        <w:ind w:left="3588" w:hanging="360"/>
      </w:pPr>
      <w:rPr>
        <w:rFonts w:ascii="Wingdings" w:hAnsi="Wingdings" w:hint="default"/>
      </w:rPr>
    </w:lvl>
    <w:lvl w:ilvl="3" w:tplc="181A0001" w:tentative="1">
      <w:start w:val="1"/>
      <w:numFmt w:val="bullet"/>
      <w:lvlText w:val=""/>
      <w:lvlJc w:val="left"/>
      <w:pPr>
        <w:ind w:left="4308" w:hanging="360"/>
      </w:pPr>
      <w:rPr>
        <w:rFonts w:ascii="Symbol" w:hAnsi="Symbol" w:hint="default"/>
      </w:rPr>
    </w:lvl>
    <w:lvl w:ilvl="4" w:tplc="181A0003" w:tentative="1">
      <w:start w:val="1"/>
      <w:numFmt w:val="bullet"/>
      <w:lvlText w:val="o"/>
      <w:lvlJc w:val="left"/>
      <w:pPr>
        <w:ind w:left="5028" w:hanging="360"/>
      </w:pPr>
      <w:rPr>
        <w:rFonts w:ascii="Courier New" w:hAnsi="Courier New" w:cs="Courier New" w:hint="default"/>
      </w:rPr>
    </w:lvl>
    <w:lvl w:ilvl="5" w:tplc="181A0005" w:tentative="1">
      <w:start w:val="1"/>
      <w:numFmt w:val="bullet"/>
      <w:lvlText w:val=""/>
      <w:lvlJc w:val="left"/>
      <w:pPr>
        <w:ind w:left="5748" w:hanging="360"/>
      </w:pPr>
      <w:rPr>
        <w:rFonts w:ascii="Wingdings" w:hAnsi="Wingdings" w:hint="default"/>
      </w:rPr>
    </w:lvl>
    <w:lvl w:ilvl="6" w:tplc="181A0001" w:tentative="1">
      <w:start w:val="1"/>
      <w:numFmt w:val="bullet"/>
      <w:lvlText w:val=""/>
      <w:lvlJc w:val="left"/>
      <w:pPr>
        <w:ind w:left="6468" w:hanging="360"/>
      </w:pPr>
      <w:rPr>
        <w:rFonts w:ascii="Symbol" w:hAnsi="Symbol" w:hint="default"/>
      </w:rPr>
    </w:lvl>
    <w:lvl w:ilvl="7" w:tplc="181A0003" w:tentative="1">
      <w:start w:val="1"/>
      <w:numFmt w:val="bullet"/>
      <w:lvlText w:val="o"/>
      <w:lvlJc w:val="left"/>
      <w:pPr>
        <w:ind w:left="7188" w:hanging="360"/>
      </w:pPr>
      <w:rPr>
        <w:rFonts w:ascii="Courier New" w:hAnsi="Courier New" w:cs="Courier New" w:hint="default"/>
      </w:rPr>
    </w:lvl>
    <w:lvl w:ilvl="8" w:tplc="181A0005" w:tentative="1">
      <w:start w:val="1"/>
      <w:numFmt w:val="bullet"/>
      <w:lvlText w:val=""/>
      <w:lvlJc w:val="left"/>
      <w:pPr>
        <w:ind w:left="7908" w:hanging="360"/>
      </w:pPr>
      <w:rPr>
        <w:rFonts w:ascii="Wingdings" w:hAnsi="Wingdings" w:hint="default"/>
      </w:rPr>
    </w:lvl>
  </w:abstractNum>
  <w:abstractNum w:abstractNumId="23" w15:restartNumberingAfterBreak="0">
    <w:nsid w:val="6A370028"/>
    <w:multiLevelType w:val="hybridMultilevel"/>
    <w:tmpl w:val="F84633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864EBE"/>
    <w:multiLevelType w:val="hybridMultilevel"/>
    <w:tmpl w:val="2B5CE2E4"/>
    <w:lvl w:ilvl="0" w:tplc="08090001">
      <w:start w:val="1"/>
      <w:numFmt w:val="bullet"/>
      <w:lvlText w:val=""/>
      <w:lvlJc w:val="left"/>
      <w:pPr>
        <w:ind w:left="2136" w:hanging="360"/>
      </w:pPr>
      <w:rPr>
        <w:rFonts w:ascii="Symbol" w:hAnsi="Symbol" w:hint="default"/>
        <w:spacing w:val="-2"/>
        <w:w w:val="99"/>
        <w:sz w:val="18"/>
        <w:szCs w:val="18"/>
      </w:rPr>
    </w:lvl>
    <w:lvl w:ilvl="1" w:tplc="241A0003">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5" w15:restartNumberingAfterBreak="0">
    <w:nsid w:val="6E503475"/>
    <w:multiLevelType w:val="hybridMultilevel"/>
    <w:tmpl w:val="5A643E90"/>
    <w:lvl w:ilvl="0" w:tplc="08090001">
      <w:start w:val="1"/>
      <w:numFmt w:val="bullet"/>
      <w:lvlText w:val=""/>
      <w:lvlJc w:val="left"/>
      <w:pPr>
        <w:ind w:left="2136" w:hanging="360"/>
      </w:pPr>
      <w:rPr>
        <w:rFonts w:ascii="Symbol" w:hAnsi="Symbol" w:hint="default"/>
      </w:rPr>
    </w:lvl>
    <w:lvl w:ilvl="1" w:tplc="241A0003" w:tentative="1">
      <w:start w:val="1"/>
      <w:numFmt w:val="bullet"/>
      <w:lvlText w:val="o"/>
      <w:lvlJc w:val="left"/>
      <w:pPr>
        <w:ind w:left="2856" w:hanging="360"/>
      </w:pPr>
      <w:rPr>
        <w:rFonts w:ascii="Courier New" w:hAnsi="Courier New" w:cs="Courier New"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6" w15:restartNumberingAfterBreak="0">
    <w:nsid w:val="6F9C0615"/>
    <w:multiLevelType w:val="multilevel"/>
    <w:tmpl w:val="C1706A56"/>
    <w:styleLink w:val="Numerisanje"/>
    <w:lvl w:ilvl="0">
      <w:start w:val="1"/>
      <w:numFmt w:val="upperRoman"/>
      <w:lvlText w:val="%1"/>
      <w:lvlJc w:val="left"/>
      <w:pPr>
        <w:ind w:left="567" w:hanging="567"/>
      </w:pPr>
      <w:rPr>
        <w:rFonts w:ascii="Times New Roman" w:hAnsi="Times New Roman" w:hint="default"/>
        <w:b/>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1BE5C68"/>
    <w:multiLevelType w:val="hybridMultilevel"/>
    <w:tmpl w:val="A87624CE"/>
    <w:lvl w:ilvl="0" w:tplc="241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1B5036"/>
    <w:multiLevelType w:val="hybridMultilevel"/>
    <w:tmpl w:val="3B76A7F8"/>
    <w:lvl w:ilvl="0" w:tplc="241A0001">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9" w15:restartNumberingAfterBreak="0">
    <w:nsid w:val="735F5CF6"/>
    <w:multiLevelType w:val="hybridMultilevel"/>
    <w:tmpl w:val="508ECA92"/>
    <w:lvl w:ilvl="0" w:tplc="241A000F">
      <w:start w:val="1"/>
      <w:numFmt w:val="decimal"/>
      <w:lvlText w:val="%1."/>
      <w:lvlJc w:val="left"/>
      <w:pPr>
        <w:ind w:left="2136" w:hanging="360"/>
      </w:pPr>
    </w:lvl>
    <w:lvl w:ilvl="1" w:tplc="241A0019" w:tentative="1">
      <w:start w:val="1"/>
      <w:numFmt w:val="lowerLetter"/>
      <w:lvlText w:val="%2."/>
      <w:lvlJc w:val="left"/>
      <w:pPr>
        <w:ind w:left="2856" w:hanging="360"/>
      </w:pPr>
    </w:lvl>
    <w:lvl w:ilvl="2" w:tplc="241A001B" w:tentative="1">
      <w:start w:val="1"/>
      <w:numFmt w:val="lowerRoman"/>
      <w:lvlText w:val="%3."/>
      <w:lvlJc w:val="right"/>
      <w:pPr>
        <w:ind w:left="3576" w:hanging="180"/>
      </w:pPr>
    </w:lvl>
    <w:lvl w:ilvl="3" w:tplc="241A000F" w:tentative="1">
      <w:start w:val="1"/>
      <w:numFmt w:val="decimal"/>
      <w:lvlText w:val="%4."/>
      <w:lvlJc w:val="left"/>
      <w:pPr>
        <w:ind w:left="4296" w:hanging="360"/>
      </w:pPr>
    </w:lvl>
    <w:lvl w:ilvl="4" w:tplc="241A0019" w:tentative="1">
      <w:start w:val="1"/>
      <w:numFmt w:val="lowerLetter"/>
      <w:lvlText w:val="%5."/>
      <w:lvlJc w:val="left"/>
      <w:pPr>
        <w:ind w:left="5016" w:hanging="360"/>
      </w:pPr>
    </w:lvl>
    <w:lvl w:ilvl="5" w:tplc="241A001B" w:tentative="1">
      <w:start w:val="1"/>
      <w:numFmt w:val="lowerRoman"/>
      <w:lvlText w:val="%6."/>
      <w:lvlJc w:val="right"/>
      <w:pPr>
        <w:ind w:left="5736" w:hanging="180"/>
      </w:pPr>
    </w:lvl>
    <w:lvl w:ilvl="6" w:tplc="241A000F" w:tentative="1">
      <w:start w:val="1"/>
      <w:numFmt w:val="decimal"/>
      <w:lvlText w:val="%7."/>
      <w:lvlJc w:val="left"/>
      <w:pPr>
        <w:ind w:left="6456" w:hanging="360"/>
      </w:pPr>
    </w:lvl>
    <w:lvl w:ilvl="7" w:tplc="241A0019" w:tentative="1">
      <w:start w:val="1"/>
      <w:numFmt w:val="lowerLetter"/>
      <w:lvlText w:val="%8."/>
      <w:lvlJc w:val="left"/>
      <w:pPr>
        <w:ind w:left="7176" w:hanging="360"/>
      </w:pPr>
    </w:lvl>
    <w:lvl w:ilvl="8" w:tplc="241A001B" w:tentative="1">
      <w:start w:val="1"/>
      <w:numFmt w:val="lowerRoman"/>
      <w:lvlText w:val="%9."/>
      <w:lvlJc w:val="right"/>
      <w:pPr>
        <w:ind w:left="7896" w:hanging="180"/>
      </w:pPr>
    </w:lvl>
  </w:abstractNum>
  <w:abstractNum w:abstractNumId="30" w15:restartNumberingAfterBreak="0">
    <w:nsid w:val="79AA3721"/>
    <w:multiLevelType w:val="hybridMultilevel"/>
    <w:tmpl w:val="85DE312C"/>
    <w:lvl w:ilvl="0" w:tplc="08090001">
      <w:start w:val="1"/>
      <w:numFmt w:val="bullet"/>
      <w:lvlText w:val=""/>
      <w:lvlJc w:val="left"/>
      <w:pPr>
        <w:ind w:left="2136" w:hanging="360"/>
      </w:pPr>
      <w:rPr>
        <w:rFonts w:ascii="Symbol" w:hAnsi="Symbol" w:hint="default"/>
      </w:rPr>
    </w:lvl>
    <w:lvl w:ilvl="1" w:tplc="C74A0564">
      <w:numFmt w:val="bullet"/>
      <w:lvlText w:val="•"/>
      <w:lvlJc w:val="left"/>
      <w:pPr>
        <w:ind w:left="2856" w:hanging="360"/>
      </w:pPr>
      <w:rPr>
        <w:rFonts w:ascii="Calibri" w:eastAsiaTheme="minorHAnsi" w:hAnsi="Calibri" w:cs="Calibri"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31" w15:restartNumberingAfterBreak="0">
    <w:nsid w:val="79E229B7"/>
    <w:multiLevelType w:val="hybridMultilevel"/>
    <w:tmpl w:val="17D0D1EA"/>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num w:numId="1">
    <w:abstractNumId w:val="16"/>
  </w:num>
  <w:num w:numId="2">
    <w:abstractNumId w:val="7"/>
  </w:num>
  <w:num w:numId="3">
    <w:abstractNumId w:val="19"/>
  </w:num>
  <w:num w:numId="4">
    <w:abstractNumId w:val="26"/>
  </w:num>
  <w:num w:numId="5">
    <w:abstractNumId w:val="13"/>
  </w:num>
  <w:num w:numId="6">
    <w:abstractNumId w:val="3"/>
  </w:num>
  <w:num w:numId="7">
    <w:abstractNumId w:val="18"/>
  </w:num>
  <w:num w:numId="8">
    <w:abstractNumId w:val="27"/>
  </w:num>
  <w:num w:numId="9">
    <w:abstractNumId w:val="23"/>
  </w:num>
  <w:num w:numId="10">
    <w:abstractNumId w:val="28"/>
  </w:num>
  <w:num w:numId="11">
    <w:abstractNumId w:val="0"/>
  </w:num>
  <w:num w:numId="12">
    <w:abstractNumId w:val="1"/>
  </w:num>
  <w:num w:numId="13">
    <w:abstractNumId w:val="20"/>
  </w:num>
  <w:num w:numId="14">
    <w:abstractNumId w:val="2"/>
  </w:num>
  <w:num w:numId="15">
    <w:abstractNumId w:val="6"/>
  </w:num>
  <w:num w:numId="16">
    <w:abstractNumId w:val="4"/>
  </w:num>
  <w:num w:numId="17">
    <w:abstractNumId w:val="12"/>
  </w:num>
  <w:num w:numId="18">
    <w:abstractNumId w:val="14"/>
  </w:num>
  <w:num w:numId="19">
    <w:abstractNumId w:val="15"/>
  </w:num>
  <w:num w:numId="20">
    <w:abstractNumId w:val="31"/>
  </w:num>
  <w:num w:numId="21">
    <w:abstractNumId w:val="24"/>
  </w:num>
  <w:num w:numId="22">
    <w:abstractNumId w:val="30"/>
  </w:num>
  <w:num w:numId="23">
    <w:abstractNumId w:val="21"/>
  </w:num>
  <w:num w:numId="24">
    <w:abstractNumId w:val="8"/>
  </w:num>
  <w:num w:numId="25">
    <w:abstractNumId w:val="25"/>
  </w:num>
  <w:num w:numId="26">
    <w:abstractNumId w:val="29"/>
  </w:num>
  <w:num w:numId="27">
    <w:abstractNumId w:val="9"/>
  </w:num>
  <w:num w:numId="28">
    <w:abstractNumId w:val="22"/>
  </w:num>
  <w:num w:numId="29">
    <w:abstractNumId w:val="11"/>
  </w:num>
  <w:num w:numId="30">
    <w:abstractNumId w:val="17"/>
  </w:num>
  <w:num w:numId="31">
    <w:abstractNumId w:val="5"/>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8EF"/>
    <w:rsid w:val="00000520"/>
    <w:rsid w:val="00010815"/>
    <w:rsid w:val="0001135A"/>
    <w:rsid w:val="00012A2A"/>
    <w:rsid w:val="00013EC5"/>
    <w:rsid w:val="00026933"/>
    <w:rsid w:val="00034C61"/>
    <w:rsid w:val="00034E5A"/>
    <w:rsid w:val="00035CC3"/>
    <w:rsid w:val="00035CFF"/>
    <w:rsid w:val="00036827"/>
    <w:rsid w:val="000401FD"/>
    <w:rsid w:val="00052CF8"/>
    <w:rsid w:val="0005395C"/>
    <w:rsid w:val="000704FD"/>
    <w:rsid w:val="00072953"/>
    <w:rsid w:val="00073CF0"/>
    <w:rsid w:val="00083935"/>
    <w:rsid w:val="000874E0"/>
    <w:rsid w:val="00090FC2"/>
    <w:rsid w:val="00091285"/>
    <w:rsid w:val="0009324C"/>
    <w:rsid w:val="00093857"/>
    <w:rsid w:val="000A06F5"/>
    <w:rsid w:val="000A2432"/>
    <w:rsid w:val="000A7EA2"/>
    <w:rsid w:val="000B04CD"/>
    <w:rsid w:val="000B3AEA"/>
    <w:rsid w:val="000C2D2F"/>
    <w:rsid w:val="000C6E09"/>
    <w:rsid w:val="000D005A"/>
    <w:rsid w:val="000D00E0"/>
    <w:rsid w:val="000D5B93"/>
    <w:rsid w:val="000D6FED"/>
    <w:rsid w:val="000E1477"/>
    <w:rsid w:val="000E7CF3"/>
    <w:rsid w:val="000F4AAF"/>
    <w:rsid w:val="000F5C04"/>
    <w:rsid w:val="000F6275"/>
    <w:rsid w:val="001163A8"/>
    <w:rsid w:val="00126588"/>
    <w:rsid w:val="00130BFD"/>
    <w:rsid w:val="00136EAD"/>
    <w:rsid w:val="001374B3"/>
    <w:rsid w:val="001416A3"/>
    <w:rsid w:val="001528EB"/>
    <w:rsid w:val="00153592"/>
    <w:rsid w:val="001538EF"/>
    <w:rsid w:val="00155069"/>
    <w:rsid w:val="00161F70"/>
    <w:rsid w:val="0016662A"/>
    <w:rsid w:val="00170349"/>
    <w:rsid w:val="00171AD4"/>
    <w:rsid w:val="001769FF"/>
    <w:rsid w:val="00184B20"/>
    <w:rsid w:val="0019136D"/>
    <w:rsid w:val="00194C22"/>
    <w:rsid w:val="00197675"/>
    <w:rsid w:val="0019779B"/>
    <w:rsid w:val="001A4047"/>
    <w:rsid w:val="001A4ADE"/>
    <w:rsid w:val="001B7A30"/>
    <w:rsid w:val="001C0601"/>
    <w:rsid w:val="001C27A1"/>
    <w:rsid w:val="001C6631"/>
    <w:rsid w:val="001D04EC"/>
    <w:rsid w:val="001D6AF5"/>
    <w:rsid w:val="001E1714"/>
    <w:rsid w:val="001E36A9"/>
    <w:rsid w:val="001E3AE7"/>
    <w:rsid w:val="001F539D"/>
    <w:rsid w:val="00203A33"/>
    <w:rsid w:val="00210474"/>
    <w:rsid w:val="00210D8B"/>
    <w:rsid w:val="00215648"/>
    <w:rsid w:val="00215F23"/>
    <w:rsid w:val="00235313"/>
    <w:rsid w:val="00244867"/>
    <w:rsid w:val="00245931"/>
    <w:rsid w:val="00252796"/>
    <w:rsid w:val="00254480"/>
    <w:rsid w:val="002575E6"/>
    <w:rsid w:val="0026077C"/>
    <w:rsid w:val="002663DB"/>
    <w:rsid w:val="00266942"/>
    <w:rsid w:val="00266945"/>
    <w:rsid w:val="00266AB6"/>
    <w:rsid w:val="0027783B"/>
    <w:rsid w:val="002801CF"/>
    <w:rsid w:val="002908EC"/>
    <w:rsid w:val="00295AE9"/>
    <w:rsid w:val="002A1615"/>
    <w:rsid w:val="002A1C02"/>
    <w:rsid w:val="002A24EC"/>
    <w:rsid w:val="002B5C72"/>
    <w:rsid w:val="002C09A5"/>
    <w:rsid w:val="002C563F"/>
    <w:rsid w:val="002D36EA"/>
    <w:rsid w:val="002D3CB6"/>
    <w:rsid w:val="002E12C8"/>
    <w:rsid w:val="002E5020"/>
    <w:rsid w:val="002E51B0"/>
    <w:rsid w:val="002E7B50"/>
    <w:rsid w:val="002F7A83"/>
    <w:rsid w:val="00301192"/>
    <w:rsid w:val="00301497"/>
    <w:rsid w:val="00302993"/>
    <w:rsid w:val="00304E1F"/>
    <w:rsid w:val="00315AFE"/>
    <w:rsid w:val="00321FA8"/>
    <w:rsid w:val="00325EEB"/>
    <w:rsid w:val="00330E93"/>
    <w:rsid w:val="00334919"/>
    <w:rsid w:val="00335B1E"/>
    <w:rsid w:val="00351C6A"/>
    <w:rsid w:val="003547B5"/>
    <w:rsid w:val="00356CEC"/>
    <w:rsid w:val="00364050"/>
    <w:rsid w:val="003661A0"/>
    <w:rsid w:val="003725BC"/>
    <w:rsid w:val="00374924"/>
    <w:rsid w:val="00383DB0"/>
    <w:rsid w:val="003953F5"/>
    <w:rsid w:val="0039637A"/>
    <w:rsid w:val="00396382"/>
    <w:rsid w:val="003A0742"/>
    <w:rsid w:val="003A3A27"/>
    <w:rsid w:val="003B072A"/>
    <w:rsid w:val="003B2D9A"/>
    <w:rsid w:val="003B2F4F"/>
    <w:rsid w:val="003C48BF"/>
    <w:rsid w:val="003C7FD1"/>
    <w:rsid w:val="003D2212"/>
    <w:rsid w:val="003E21A9"/>
    <w:rsid w:val="003E2BB3"/>
    <w:rsid w:val="003E3504"/>
    <w:rsid w:val="003E7F9E"/>
    <w:rsid w:val="003F1A09"/>
    <w:rsid w:val="003F3226"/>
    <w:rsid w:val="003F520C"/>
    <w:rsid w:val="003F754B"/>
    <w:rsid w:val="00403900"/>
    <w:rsid w:val="00403F89"/>
    <w:rsid w:val="004055AF"/>
    <w:rsid w:val="0041362C"/>
    <w:rsid w:val="0041746A"/>
    <w:rsid w:val="0042190C"/>
    <w:rsid w:val="004221E8"/>
    <w:rsid w:val="0042413C"/>
    <w:rsid w:val="00424A91"/>
    <w:rsid w:val="00425136"/>
    <w:rsid w:val="004259DC"/>
    <w:rsid w:val="00433186"/>
    <w:rsid w:val="00440194"/>
    <w:rsid w:val="004439A7"/>
    <w:rsid w:val="00444987"/>
    <w:rsid w:val="004462B1"/>
    <w:rsid w:val="00451648"/>
    <w:rsid w:val="00467FEE"/>
    <w:rsid w:val="00471A95"/>
    <w:rsid w:val="004732B5"/>
    <w:rsid w:val="004A1318"/>
    <w:rsid w:val="004A241E"/>
    <w:rsid w:val="004B13E7"/>
    <w:rsid w:val="004B146F"/>
    <w:rsid w:val="004B2397"/>
    <w:rsid w:val="004B3C65"/>
    <w:rsid w:val="004C0CBD"/>
    <w:rsid w:val="004C4247"/>
    <w:rsid w:val="004D0269"/>
    <w:rsid w:val="004D360B"/>
    <w:rsid w:val="004D4A5A"/>
    <w:rsid w:val="004D59EF"/>
    <w:rsid w:val="004E0037"/>
    <w:rsid w:val="004E7FA3"/>
    <w:rsid w:val="00500F41"/>
    <w:rsid w:val="005030FC"/>
    <w:rsid w:val="00511E73"/>
    <w:rsid w:val="0052360C"/>
    <w:rsid w:val="005311A9"/>
    <w:rsid w:val="00536E78"/>
    <w:rsid w:val="00543B93"/>
    <w:rsid w:val="00545FA4"/>
    <w:rsid w:val="00547B4E"/>
    <w:rsid w:val="00553306"/>
    <w:rsid w:val="00553AEA"/>
    <w:rsid w:val="0055687E"/>
    <w:rsid w:val="0056585F"/>
    <w:rsid w:val="00565F4D"/>
    <w:rsid w:val="00572EC5"/>
    <w:rsid w:val="005752D5"/>
    <w:rsid w:val="005767EF"/>
    <w:rsid w:val="00584620"/>
    <w:rsid w:val="00585AD3"/>
    <w:rsid w:val="00593423"/>
    <w:rsid w:val="005A7BAC"/>
    <w:rsid w:val="005B2B10"/>
    <w:rsid w:val="005B57E0"/>
    <w:rsid w:val="005B6F87"/>
    <w:rsid w:val="005C35BE"/>
    <w:rsid w:val="005D0BE8"/>
    <w:rsid w:val="005D0F59"/>
    <w:rsid w:val="005D0F9B"/>
    <w:rsid w:val="005D2C1F"/>
    <w:rsid w:val="005D2D24"/>
    <w:rsid w:val="005D3925"/>
    <w:rsid w:val="005D5536"/>
    <w:rsid w:val="005D68A8"/>
    <w:rsid w:val="005E590F"/>
    <w:rsid w:val="005F70EB"/>
    <w:rsid w:val="00603916"/>
    <w:rsid w:val="00607F7C"/>
    <w:rsid w:val="00612143"/>
    <w:rsid w:val="00617810"/>
    <w:rsid w:val="00617C37"/>
    <w:rsid w:val="00626C5F"/>
    <w:rsid w:val="00627A7C"/>
    <w:rsid w:val="00631FFF"/>
    <w:rsid w:val="00646C62"/>
    <w:rsid w:val="00655955"/>
    <w:rsid w:val="0066469A"/>
    <w:rsid w:val="0066471A"/>
    <w:rsid w:val="00667021"/>
    <w:rsid w:val="006702AB"/>
    <w:rsid w:val="00673EDF"/>
    <w:rsid w:val="006743A0"/>
    <w:rsid w:val="00683FFC"/>
    <w:rsid w:val="00684A7B"/>
    <w:rsid w:val="00687171"/>
    <w:rsid w:val="0069428E"/>
    <w:rsid w:val="006A3C9A"/>
    <w:rsid w:val="006B0198"/>
    <w:rsid w:val="006B34BD"/>
    <w:rsid w:val="006C1A84"/>
    <w:rsid w:val="006D4CD2"/>
    <w:rsid w:val="006E1977"/>
    <w:rsid w:val="006E40F1"/>
    <w:rsid w:val="006F5BAE"/>
    <w:rsid w:val="006F5BD9"/>
    <w:rsid w:val="0070006A"/>
    <w:rsid w:val="0070222F"/>
    <w:rsid w:val="00702D51"/>
    <w:rsid w:val="00713AF5"/>
    <w:rsid w:val="0071581A"/>
    <w:rsid w:val="007224A3"/>
    <w:rsid w:val="007259AE"/>
    <w:rsid w:val="0073303C"/>
    <w:rsid w:val="007339B5"/>
    <w:rsid w:val="007377DB"/>
    <w:rsid w:val="0074097F"/>
    <w:rsid w:val="007434A3"/>
    <w:rsid w:val="0074609B"/>
    <w:rsid w:val="007460B5"/>
    <w:rsid w:val="007534DD"/>
    <w:rsid w:val="0075475E"/>
    <w:rsid w:val="0076154D"/>
    <w:rsid w:val="00774626"/>
    <w:rsid w:val="00775661"/>
    <w:rsid w:val="00776797"/>
    <w:rsid w:val="007851DE"/>
    <w:rsid w:val="00786121"/>
    <w:rsid w:val="00792678"/>
    <w:rsid w:val="007A71BF"/>
    <w:rsid w:val="007B2869"/>
    <w:rsid w:val="007B3016"/>
    <w:rsid w:val="007B6974"/>
    <w:rsid w:val="007C2E76"/>
    <w:rsid w:val="007C3977"/>
    <w:rsid w:val="007C74A2"/>
    <w:rsid w:val="007E6644"/>
    <w:rsid w:val="00800CD6"/>
    <w:rsid w:val="00801C08"/>
    <w:rsid w:val="00802A85"/>
    <w:rsid w:val="00804592"/>
    <w:rsid w:val="0080560B"/>
    <w:rsid w:val="0080620E"/>
    <w:rsid w:val="0080628F"/>
    <w:rsid w:val="008068FA"/>
    <w:rsid w:val="00811D04"/>
    <w:rsid w:val="008134F3"/>
    <w:rsid w:val="00823088"/>
    <w:rsid w:val="00823B1A"/>
    <w:rsid w:val="008307BD"/>
    <w:rsid w:val="00836834"/>
    <w:rsid w:val="00836EF2"/>
    <w:rsid w:val="008412E8"/>
    <w:rsid w:val="00847B43"/>
    <w:rsid w:val="00854960"/>
    <w:rsid w:val="008565C8"/>
    <w:rsid w:val="008617B4"/>
    <w:rsid w:val="00862F67"/>
    <w:rsid w:val="00874DE2"/>
    <w:rsid w:val="00876546"/>
    <w:rsid w:val="00886690"/>
    <w:rsid w:val="00892214"/>
    <w:rsid w:val="008A3C49"/>
    <w:rsid w:val="008A780A"/>
    <w:rsid w:val="008C27E1"/>
    <w:rsid w:val="008C6F9F"/>
    <w:rsid w:val="008D3DAA"/>
    <w:rsid w:val="008D526C"/>
    <w:rsid w:val="008D6704"/>
    <w:rsid w:val="008D7B5A"/>
    <w:rsid w:val="008E023F"/>
    <w:rsid w:val="008E0518"/>
    <w:rsid w:val="008E49D3"/>
    <w:rsid w:val="008E7C91"/>
    <w:rsid w:val="008F7B16"/>
    <w:rsid w:val="0090033D"/>
    <w:rsid w:val="00900F10"/>
    <w:rsid w:val="00904D57"/>
    <w:rsid w:val="009051D2"/>
    <w:rsid w:val="009065AC"/>
    <w:rsid w:val="00910D8B"/>
    <w:rsid w:val="009124BC"/>
    <w:rsid w:val="00914272"/>
    <w:rsid w:val="00932859"/>
    <w:rsid w:val="009342FB"/>
    <w:rsid w:val="009346DA"/>
    <w:rsid w:val="0093724A"/>
    <w:rsid w:val="00937B34"/>
    <w:rsid w:val="00942B0B"/>
    <w:rsid w:val="00947FBF"/>
    <w:rsid w:val="00954F20"/>
    <w:rsid w:val="00957F9F"/>
    <w:rsid w:val="00961BDD"/>
    <w:rsid w:val="00962AF1"/>
    <w:rsid w:val="00971504"/>
    <w:rsid w:val="00976A36"/>
    <w:rsid w:val="0098547D"/>
    <w:rsid w:val="00993BBD"/>
    <w:rsid w:val="009A753D"/>
    <w:rsid w:val="009B4556"/>
    <w:rsid w:val="009B6FAB"/>
    <w:rsid w:val="009C697E"/>
    <w:rsid w:val="009C7D7A"/>
    <w:rsid w:val="009D59E8"/>
    <w:rsid w:val="009E4517"/>
    <w:rsid w:val="009E6B93"/>
    <w:rsid w:val="009F618F"/>
    <w:rsid w:val="009F70C0"/>
    <w:rsid w:val="00A0401A"/>
    <w:rsid w:val="00A13C00"/>
    <w:rsid w:val="00A23BC7"/>
    <w:rsid w:val="00A3089B"/>
    <w:rsid w:val="00A3442E"/>
    <w:rsid w:val="00A349D6"/>
    <w:rsid w:val="00A408DF"/>
    <w:rsid w:val="00A426D1"/>
    <w:rsid w:val="00A43C1F"/>
    <w:rsid w:val="00A445D7"/>
    <w:rsid w:val="00A522F7"/>
    <w:rsid w:val="00A52A18"/>
    <w:rsid w:val="00A561E0"/>
    <w:rsid w:val="00A576A5"/>
    <w:rsid w:val="00A57DBA"/>
    <w:rsid w:val="00A60232"/>
    <w:rsid w:val="00A64AF6"/>
    <w:rsid w:val="00A6503C"/>
    <w:rsid w:val="00A84CAD"/>
    <w:rsid w:val="00A84DF8"/>
    <w:rsid w:val="00A944C8"/>
    <w:rsid w:val="00A94CD4"/>
    <w:rsid w:val="00AA0732"/>
    <w:rsid w:val="00AC030A"/>
    <w:rsid w:val="00AC07D0"/>
    <w:rsid w:val="00AC460F"/>
    <w:rsid w:val="00AD5361"/>
    <w:rsid w:val="00AE7647"/>
    <w:rsid w:val="00AF0599"/>
    <w:rsid w:val="00AF0E64"/>
    <w:rsid w:val="00AF5676"/>
    <w:rsid w:val="00B00123"/>
    <w:rsid w:val="00B1743F"/>
    <w:rsid w:val="00B343C6"/>
    <w:rsid w:val="00B35C5E"/>
    <w:rsid w:val="00B414B5"/>
    <w:rsid w:val="00B44D0C"/>
    <w:rsid w:val="00B44F5F"/>
    <w:rsid w:val="00B46941"/>
    <w:rsid w:val="00B5068E"/>
    <w:rsid w:val="00B525CF"/>
    <w:rsid w:val="00B54DD1"/>
    <w:rsid w:val="00B563CF"/>
    <w:rsid w:val="00B579BB"/>
    <w:rsid w:val="00B75871"/>
    <w:rsid w:val="00B769DD"/>
    <w:rsid w:val="00B81C29"/>
    <w:rsid w:val="00B84B91"/>
    <w:rsid w:val="00B86275"/>
    <w:rsid w:val="00B928EF"/>
    <w:rsid w:val="00BA1F0A"/>
    <w:rsid w:val="00BA2264"/>
    <w:rsid w:val="00BB633C"/>
    <w:rsid w:val="00BC4BEA"/>
    <w:rsid w:val="00BC5934"/>
    <w:rsid w:val="00BC6981"/>
    <w:rsid w:val="00BD3482"/>
    <w:rsid w:val="00BD6347"/>
    <w:rsid w:val="00BD6792"/>
    <w:rsid w:val="00BE15F9"/>
    <w:rsid w:val="00BE64CF"/>
    <w:rsid w:val="00BE6F42"/>
    <w:rsid w:val="00BF5A05"/>
    <w:rsid w:val="00C04095"/>
    <w:rsid w:val="00C12ECB"/>
    <w:rsid w:val="00C14A0F"/>
    <w:rsid w:val="00C442DB"/>
    <w:rsid w:val="00C527B6"/>
    <w:rsid w:val="00C547E3"/>
    <w:rsid w:val="00C5563A"/>
    <w:rsid w:val="00C66305"/>
    <w:rsid w:val="00C71500"/>
    <w:rsid w:val="00C741B4"/>
    <w:rsid w:val="00C76A89"/>
    <w:rsid w:val="00C779CA"/>
    <w:rsid w:val="00C82041"/>
    <w:rsid w:val="00C83136"/>
    <w:rsid w:val="00C83692"/>
    <w:rsid w:val="00C83A25"/>
    <w:rsid w:val="00C969EE"/>
    <w:rsid w:val="00CA2358"/>
    <w:rsid w:val="00CA28AF"/>
    <w:rsid w:val="00CA5F52"/>
    <w:rsid w:val="00CA6C43"/>
    <w:rsid w:val="00CB12D5"/>
    <w:rsid w:val="00CC181D"/>
    <w:rsid w:val="00CC265E"/>
    <w:rsid w:val="00CC2EB2"/>
    <w:rsid w:val="00CE2CCD"/>
    <w:rsid w:val="00CF5C14"/>
    <w:rsid w:val="00D059DD"/>
    <w:rsid w:val="00D13A27"/>
    <w:rsid w:val="00D15B00"/>
    <w:rsid w:val="00D16291"/>
    <w:rsid w:val="00D24503"/>
    <w:rsid w:val="00D25A1F"/>
    <w:rsid w:val="00D35399"/>
    <w:rsid w:val="00D362E3"/>
    <w:rsid w:val="00D368D4"/>
    <w:rsid w:val="00D42F9E"/>
    <w:rsid w:val="00D44C0D"/>
    <w:rsid w:val="00D53F87"/>
    <w:rsid w:val="00D56712"/>
    <w:rsid w:val="00D61F52"/>
    <w:rsid w:val="00D63B52"/>
    <w:rsid w:val="00D65DBC"/>
    <w:rsid w:val="00D70BEE"/>
    <w:rsid w:val="00D77E84"/>
    <w:rsid w:val="00D83063"/>
    <w:rsid w:val="00D834EE"/>
    <w:rsid w:val="00DA2523"/>
    <w:rsid w:val="00DB0D07"/>
    <w:rsid w:val="00DB46A9"/>
    <w:rsid w:val="00DB5231"/>
    <w:rsid w:val="00DB7831"/>
    <w:rsid w:val="00DC1AD9"/>
    <w:rsid w:val="00DC72FE"/>
    <w:rsid w:val="00DC77E0"/>
    <w:rsid w:val="00DD2BAA"/>
    <w:rsid w:val="00DE0267"/>
    <w:rsid w:val="00DE45EF"/>
    <w:rsid w:val="00DE7069"/>
    <w:rsid w:val="00DF3C30"/>
    <w:rsid w:val="00DF60FC"/>
    <w:rsid w:val="00E00B0B"/>
    <w:rsid w:val="00E01192"/>
    <w:rsid w:val="00E037F4"/>
    <w:rsid w:val="00E13F69"/>
    <w:rsid w:val="00E153D1"/>
    <w:rsid w:val="00E16DD7"/>
    <w:rsid w:val="00E236D5"/>
    <w:rsid w:val="00E2683D"/>
    <w:rsid w:val="00E3312F"/>
    <w:rsid w:val="00E3322B"/>
    <w:rsid w:val="00E356BB"/>
    <w:rsid w:val="00E37A97"/>
    <w:rsid w:val="00E42BFF"/>
    <w:rsid w:val="00E46092"/>
    <w:rsid w:val="00E46707"/>
    <w:rsid w:val="00E50755"/>
    <w:rsid w:val="00E606D0"/>
    <w:rsid w:val="00E6374A"/>
    <w:rsid w:val="00E663D1"/>
    <w:rsid w:val="00E66BA7"/>
    <w:rsid w:val="00E6703F"/>
    <w:rsid w:val="00E72BA2"/>
    <w:rsid w:val="00E741ED"/>
    <w:rsid w:val="00E768AF"/>
    <w:rsid w:val="00E84021"/>
    <w:rsid w:val="00E85509"/>
    <w:rsid w:val="00E86D8D"/>
    <w:rsid w:val="00E91AC3"/>
    <w:rsid w:val="00E94909"/>
    <w:rsid w:val="00EA08D5"/>
    <w:rsid w:val="00EA7186"/>
    <w:rsid w:val="00EB4CFD"/>
    <w:rsid w:val="00ED1AED"/>
    <w:rsid w:val="00ED58B7"/>
    <w:rsid w:val="00EE027C"/>
    <w:rsid w:val="00EE16CE"/>
    <w:rsid w:val="00EE734C"/>
    <w:rsid w:val="00EF084E"/>
    <w:rsid w:val="00EF150A"/>
    <w:rsid w:val="00F04350"/>
    <w:rsid w:val="00F10264"/>
    <w:rsid w:val="00F10627"/>
    <w:rsid w:val="00F13F96"/>
    <w:rsid w:val="00F2119C"/>
    <w:rsid w:val="00F2146A"/>
    <w:rsid w:val="00F30F98"/>
    <w:rsid w:val="00F35823"/>
    <w:rsid w:val="00F51899"/>
    <w:rsid w:val="00F53A19"/>
    <w:rsid w:val="00F60818"/>
    <w:rsid w:val="00F6210D"/>
    <w:rsid w:val="00F67F6B"/>
    <w:rsid w:val="00F731FD"/>
    <w:rsid w:val="00F7504C"/>
    <w:rsid w:val="00F75B3A"/>
    <w:rsid w:val="00F83E8B"/>
    <w:rsid w:val="00F84335"/>
    <w:rsid w:val="00F92423"/>
    <w:rsid w:val="00F9654C"/>
    <w:rsid w:val="00FB10AB"/>
    <w:rsid w:val="00FB6C47"/>
    <w:rsid w:val="00FC6CCA"/>
    <w:rsid w:val="00FD4F2B"/>
    <w:rsid w:val="00FD6568"/>
    <w:rsid w:val="00FE0E1B"/>
    <w:rsid w:val="00FE34B5"/>
    <w:rsid w:val="00FE5EE8"/>
    <w:rsid w:val="00FF546D"/>
    <w:rsid w:val="00FF6494"/>
    <w:rsid w:val="00FF73B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3FC37"/>
  <w15:docId w15:val="{3F86D1D0-FB37-4C61-BBB7-DF124F12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F98"/>
    <w:pPr>
      <w:spacing w:after="0" w:line="240" w:lineRule="auto"/>
      <w:jc w:val="both"/>
    </w:pPr>
    <w:rPr>
      <w:rFonts w:ascii="Times New Roman" w:eastAsia="Times New Roman" w:hAnsi="Times New Roman" w:cs="Times New Roman"/>
      <w:color w:val="000000"/>
      <w:sz w:val="24"/>
      <w:szCs w:val="24"/>
      <w:lang w:eastAsia="bs-Latn-BA"/>
    </w:rPr>
  </w:style>
  <w:style w:type="paragraph" w:styleId="Heading1">
    <w:name w:val="heading 1"/>
    <w:basedOn w:val="Normal"/>
    <w:link w:val="Heading1Char"/>
    <w:qFormat/>
    <w:rsid w:val="001538EF"/>
    <w:pPr>
      <w:numPr>
        <w:numId w:val="18"/>
      </w:numPr>
      <w:spacing w:after="360" w:line="0" w:lineRule="atLeast"/>
      <w:ind w:left="431" w:hanging="431"/>
      <w:outlineLvl w:val="0"/>
    </w:pPr>
    <w:rPr>
      <w:rFonts w:ascii="Calibri" w:hAnsi="Calibri"/>
      <w:b/>
      <w:caps/>
      <w:color w:val="auto"/>
      <w:kern w:val="36"/>
      <w:sz w:val="20"/>
      <w:szCs w:val="20"/>
      <w:lang w:val="sr-Cyrl-CS" w:eastAsia="sr-Latn-CS"/>
    </w:rPr>
  </w:style>
  <w:style w:type="paragraph" w:styleId="Heading2">
    <w:name w:val="heading 2"/>
    <w:basedOn w:val="Normal"/>
    <w:link w:val="Heading2Char"/>
    <w:qFormat/>
    <w:rsid w:val="001538EF"/>
    <w:pPr>
      <w:numPr>
        <w:ilvl w:val="1"/>
        <w:numId w:val="18"/>
      </w:numPr>
      <w:spacing w:line="276" w:lineRule="auto"/>
      <w:outlineLvl w:val="1"/>
    </w:pPr>
    <w:rPr>
      <w:rFonts w:ascii="Calibri" w:eastAsiaTheme="minorHAnsi" w:hAnsi="Calibri"/>
      <w:bCs/>
      <w:color w:val="auto"/>
      <w:sz w:val="20"/>
      <w:szCs w:val="17"/>
      <w:lang w:val="sr-Cyrl-CS" w:eastAsia="sr-Latn-CS"/>
    </w:rPr>
  </w:style>
  <w:style w:type="paragraph" w:styleId="Heading3">
    <w:name w:val="heading 3"/>
    <w:basedOn w:val="Normal"/>
    <w:next w:val="Normal"/>
    <w:link w:val="Heading3Char"/>
    <w:uiPriority w:val="9"/>
    <w:semiHidden/>
    <w:unhideWhenUsed/>
    <w:qFormat/>
    <w:rsid w:val="001538EF"/>
    <w:pPr>
      <w:keepNext/>
      <w:keepLines/>
      <w:numPr>
        <w:ilvl w:val="2"/>
        <w:numId w:val="18"/>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538EF"/>
    <w:pPr>
      <w:keepNext/>
      <w:keepLines/>
      <w:numPr>
        <w:ilvl w:val="3"/>
        <w:numId w:val="18"/>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538EF"/>
    <w:pPr>
      <w:keepNext/>
      <w:keepLines/>
      <w:numPr>
        <w:ilvl w:val="4"/>
        <w:numId w:val="1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38EF"/>
    <w:pPr>
      <w:keepNext/>
      <w:keepLines/>
      <w:numPr>
        <w:ilvl w:val="5"/>
        <w:numId w:val="1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38EF"/>
    <w:pPr>
      <w:keepNext/>
      <w:keepLines/>
      <w:numPr>
        <w:ilvl w:val="6"/>
        <w:numId w:val="1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38EF"/>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38EF"/>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38EF"/>
    <w:rPr>
      <w:rFonts w:ascii="Calibri" w:eastAsia="Times New Roman" w:hAnsi="Calibri" w:cs="Times New Roman"/>
      <w:b/>
      <w:caps/>
      <w:kern w:val="36"/>
      <w:sz w:val="20"/>
      <w:szCs w:val="20"/>
      <w:lang w:val="sr-Cyrl-CS" w:eastAsia="sr-Latn-CS"/>
    </w:rPr>
  </w:style>
  <w:style w:type="character" w:customStyle="1" w:styleId="Heading2Char">
    <w:name w:val="Heading 2 Char"/>
    <w:basedOn w:val="DefaultParagraphFont"/>
    <w:link w:val="Heading2"/>
    <w:rsid w:val="001538EF"/>
    <w:rPr>
      <w:rFonts w:ascii="Calibri" w:hAnsi="Calibri" w:cs="Times New Roman"/>
      <w:bCs/>
      <w:sz w:val="20"/>
      <w:szCs w:val="17"/>
      <w:lang w:val="sr-Cyrl-CS" w:eastAsia="sr-Latn-CS"/>
    </w:rPr>
  </w:style>
  <w:style w:type="character" w:customStyle="1" w:styleId="Heading3Char">
    <w:name w:val="Heading 3 Char"/>
    <w:basedOn w:val="DefaultParagraphFont"/>
    <w:link w:val="Heading3"/>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4Char">
    <w:name w:val="Heading 4 Char"/>
    <w:basedOn w:val="DefaultParagraphFont"/>
    <w:link w:val="Heading4"/>
    <w:uiPriority w:val="9"/>
    <w:semiHidden/>
    <w:rsid w:val="001538EF"/>
    <w:rPr>
      <w:rFonts w:asciiTheme="majorHAnsi" w:eastAsiaTheme="majorEastAsia" w:hAnsiTheme="majorHAnsi" w:cstheme="majorBidi"/>
      <w:i/>
      <w:iCs/>
      <w:color w:val="365F91" w:themeColor="accent1" w:themeShade="BF"/>
      <w:sz w:val="24"/>
      <w:szCs w:val="24"/>
      <w:lang w:eastAsia="bs-Latn-BA"/>
    </w:rPr>
  </w:style>
  <w:style w:type="character" w:customStyle="1" w:styleId="Heading5Char">
    <w:name w:val="Heading 5 Char"/>
    <w:basedOn w:val="DefaultParagraphFont"/>
    <w:link w:val="Heading5"/>
    <w:uiPriority w:val="9"/>
    <w:semiHidden/>
    <w:rsid w:val="001538EF"/>
    <w:rPr>
      <w:rFonts w:asciiTheme="majorHAnsi" w:eastAsiaTheme="majorEastAsia" w:hAnsiTheme="majorHAnsi" w:cstheme="majorBidi"/>
      <w:color w:val="365F91" w:themeColor="accent1" w:themeShade="BF"/>
      <w:sz w:val="24"/>
      <w:szCs w:val="24"/>
      <w:lang w:eastAsia="bs-Latn-BA"/>
    </w:rPr>
  </w:style>
  <w:style w:type="character" w:customStyle="1" w:styleId="Heading6Char">
    <w:name w:val="Heading 6 Char"/>
    <w:basedOn w:val="DefaultParagraphFont"/>
    <w:link w:val="Heading6"/>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7Char">
    <w:name w:val="Heading 7 Char"/>
    <w:basedOn w:val="DefaultParagraphFont"/>
    <w:link w:val="Heading7"/>
    <w:uiPriority w:val="9"/>
    <w:semiHidden/>
    <w:rsid w:val="001538EF"/>
    <w:rPr>
      <w:rFonts w:asciiTheme="majorHAnsi" w:eastAsiaTheme="majorEastAsia" w:hAnsiTheme="majorHAnsi" w:cstheme="majorBidi"/>
      <w:i/>
      <w:iCs/>
      <w:color w:val="243F60" w:themeColor="accent1" w:themeShade="7F"/>
      <w:sz w:val="24"/>
      <w:szCs w:val="24"/>
      <w:lang w:eastAsia="bs-Latn-BA"/>
    </w:rPr>
  </w:style>
  <w:style w:type="character" w:customStyle="1" w:styleId="Heading8Char">
    <w:name w:val="Heading 8 Char"/>
    <w:basedOn w:val="DefaultParagraphFont"/>
    <w:link w:val="Heading8"/>
    <w:uiPriority w:val="9"/>
    <w:semiHidden/>
    <w:rsid w:val="001538EF"/>
    <w:rPr>
      <w:rFonts w:asciiTheme="majorHAnsi" w:eastAsiaTheme="majorEastAsia" w:hAnsiTheme="majorHAnsi" w:cstheme="majorBidi"/>
      <w:color w:val="272727" w:themeColor="text1" w:themeTint="D8"/>
      <w:sz w:val="21"/>
      <w:szCs w:val="21"/>
      <w:lang w:eastAsia="bs-Latn-BA"/>
    </w:rPr>
  </w:style>
  <w:style w:type="character" w:customStyle="1" w:styleId="Heading9Char">
    <w:name w:val="Heading 9 Char"/>
    <w:basedOn w:val="DefaultParagraphFont"/>
    <w:link w:val="Heading9"/>
    <w:uiPriority w:val="9"/>
    <w:semiHidden/>
    <w:rsid w:val="001538EF"/>
    <w:rPr>
      <w:rFonts w:asciiTheme="majorHAnsi" w:eastAsiaTheme="majorEastAsia" w:hAnsiTheme="majorHAnsi" w:cstheme="majorBidi"/>
      <w:i/>
      <w:iCs/>
      <w:color w:val="272727" w:themeColor="text1" w:themeTint="D8"/>
      <w:sz w:val="21"/>
      <w:szCs w:val="21"/>
      <w:lang w:eastAsia="bs-Latn-BA"/>
    </w:rPr>
  </w:style>
  <w:style w:type="paragraph" w:styleId="Footer">
    <w:name w:val="footer"/>
    <w:basedOn w:val="Normal"/>
    <w:link w:val="FooterChar"/>
    <w:uiPriority w:val="99"/>
    <w:rsid w:val="001538EF"/>
    <w:pPr>
      <w:tabs>
        <w:tab w:val="center" w:pos="4320"/>
        <w:tab w:val="right" w:pos="8640"/>
      </w:tabs>
    </w:pPr>
  </w:style>
  <w:style w:type="character" w:customStyle="1" w:styleId="FooterChar">
    <w:name w:val="Footer Char"/>
    <w:basedOn w:val="DefaultParagraphFont"/>
    <w:link w:val="Footer"/>
    <w:uiPriority w:val="99"/>
    <w:rsid w:val="001538EF"/>
    <w:rPr>
      <w:rFonts w:ascii="Times New Roman" w:eastAsia="Times New Roman" w:hAnsi="Times New Roman" w:cs="Times New Roman"/>
      <w:color w:val="000000"/>
      <w:sz w:val="24"/>
      <w:szCs w:val="24"/>
      <w:lang w:eastAsia="bs-Latn-BA"/>
    </w:rPr>
  </w:style>
  <w:style w:type="paragraph" w:styleId="Header">
    <w:name w:val="header"/>
    <w:basedOn w:val="Normal"/>
    <w:link w:val="HeaderChar"/>
    <w:uiPriority w:val="99"/>
    <w:rsid w:val="001538EF"/>
    <w:pPr>
      <w:tabs>
        <w:tab w:val="center" w:pos="4320"/>
        <w:tab w:val="right" w:pos="8640"/>
      </w:tabs>
    </w:pPr>
  </w:style>
  <w:style w:type="character" w:customStyle="1" w:styleId="HeaderChar">
    <w:name w:val="Header Char"/>
    <w:basedOn w:val="DefaultParagraphFont"/>
    <w:link w:val="Header"/>
    <w:uiPriority w:val="99"/>
    <w:rsid w:val="001538EF"/>
    <w:rPr>
      <w:rFonts w:ascii="Times New Roman" w:eastAsia="Times New Roman" w:hAnsi="Times New Roman" w:cs="Times New Roman"/>
      <w:color w:val="000000"/>
      <w:sz w:val="24"/>
      <w:szCs w:val="24"/>
      <w:lang w:eastAsia="bs-Latn-BA"/>
    </w:rPr>
  </w:style>
  <w:style w:type="paragraph" w:styleId="ListParagraph">
    <w:name w:val="List Paragraph"/>
    <w:basedOn w:val="Normal"/>
    <w:uiPriority w:val="34"/>
    <w:qFormat/>
    <w:rsid w:val="001538EF"/>
    <w:pPr>
      <w:ind w:left="720"/>
      <w:contextualSpacing/>
    </w:pPr>
  </w:style>
  <w:style w:type="table" w:styleId="TableGrid">
    <w:name w:val="Table Grid"/>
    <w:basedOn w:val="TableNormal"/>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1538EF"/>
    <w:rPr>
      <w:rFonts w:ascii="Tahoma" w:hAnsi="Tahoma" w:cs="Tahoma"/>
      <w:sz w:val="16"/>
      <w:szCs w:val="16"/>
    </w:rPr>
  </w:style>
  <w:style w:type="character" w:customStyle="1" w:styleId="BalloonTextChar">
    <w:name w:val="Balloon Text Char"/>
    <w:basedOn w:val="DefaultParagraphFont"/>
    <w:link w:val="BalloonText"/>
    <w:semiHidden/>
    <w:rsid w:val="001538EF"/>
    <w:rPr>
      <w:rFonts w:ascii="Tahoma" w:eastAsia="Times New Roman" w:hAnsi="Tahoma" w:cs="Tahoma"/>
      <w:color w:val="000000"/>
      <w:sz w:val="16"/>
      <w:szCs w:val="16"/>
      <w:lang w:eastAsia="bs-Latn-BA"/>
    </w:rPr>
  </w:style>
  <w:style w:type="character" w:styleId="CommentReference">
    <w:name w:val="annotation reference"/>
    <w:semiHidden/>
    <w:rsid w:val="001538EF"/>
    <w:rPr>
      <w:sz w:val="16"/>
      <w:szCs w:val="16"/>
    </w:rPr>
  </w:style>
  <w:style w:type="paragraph" w:styleId="CommentText">
    <w:name w:val="annotation text"/>
    <w:basedOn w:val="Normal"/>
    <w:link w:val="CommentTextChar"/>
    <w:semiHidden/>
    <w:rsid w:val="001538EF"/>
    <w:rPr>
      <w:sz w:val="20"/>
      <w:szCs w:val="20"/>
    </w:rPr>
  </w:style>
  <w:style w:type="character" w:customStyle="1" w:styleId="CommentTextChar">
    <w:name w:val="Comment Text Char"/>
    <w:basedOn w:val="DefaultParagraphFont"/>
    <w:link w:val="CommentText"/>
    <w:semiHidden/>
    <w:rsid w:val="001538EF"/>
    <w:rPr>
      <w:rFonts w:ascii="Times New Roman" w:eastAsia="Times New Roman" w:hAnsi="Times New Roman" w:cs="Times New Roman"/>
      <w:color w:val="000000"/>
      <w:sz w:val="20"/>
      <w:szCs w:val="20"/>
      <w:lang w:eastAsia="bs-Latn-BA"/>
    </w:rPr>
  </w:style>
  <w:style w:type="paragraph" w:styleId="CommentSubject">
    <w:name w:val="annotation subject"/>
    <w:basedOn w:val="CommentText"/>
    <w:next w:val="CommentText"/>
    <w:link w:val="CommentSubjectChar"/>
    <w:semiHidden/>
    <w:rsid w:val="001538EF"/>
    <w:rPr>
      <w:b/>
      <w:bCs/>
    </w:rPr>
  </w:style>
  <w:style w:type="character" w:customStyle="1" w:styleId="CommentSubjectChar">
    <w:name w:val="Comment Subject Char"/>
    <w:basedOn w:val="CommentTextChar"/>
    <w:link w:val="CommentSubject"/>
    <w:semiHidden/>
    <w:rsid w:val="001538EF"/>
    <w:rPr>
      <w:rFonts w:ascii="Times New Roman" w:eastAsia="Times New Roman" w:hAnsi="Times New Roman" w:cs="Times New Roman"/>
      <w:b/>
      <w:bCs/>
      <w:color w:val="000000"/>
      <w:sz w:val="20"/>
      <w:szCs w:val="20"/>
      <w:lang w:eastAsia="bs-Latn-BA"/>
    </w:rPr>
  </w:style>
  <w:style w:type="character" w:styleId="FootnoteReference">
    <w:name w:val="footnote reference"/>
    <w:semiHidden/>
    <w:rsid w:val="001538EF"/>
    <w:rPr>
      <w:vertAlign w:val="superscript"/>
    </w:rPr>
  </w:style>
  <w:style w:type="paragraph" w:styleId="FootnoteText">
    <w:name w:val="footnote text"/>
    <w:basedOn w:val="Normal"/>
    <w:link w:val="FootnoteTextChar"/>
    <w:semiHidden/>
    <w:rsid w:val="001538EF"/>
    <w:rPr>
      <w:sz w:val="20"/>
      <w:szCs w:val="20"/>
    </w:rPr>
  </w:style>
  <w:style w:type="character" w:customStyle="1" w:styleId="FootnoteTextChar">
    <w:name w:val="Footnote Text Char"/>
    <w:basedOn w:val="DefaultParagraphFont"/>
    <w:link w:val="FootnoteText"/>
    <w:semiHidden/>
    <w:rsid w:val="001538EF"/>
    <w:rPr>
      <w:rFonts w:ascii="Times New Roman" w:eastAsia="Times New Roman" w:hAnsi="Times New Roman" w:cs="Times New Roman"/>
      <w:color w:val="000000"/>
      <w:sz w:val="20"/>
      <w:szCs w:val="20"/>
      <w:lang w:eastAsia="bs-Latn-BA"/>
    </w:rPr>
  </w:style>
  <w:style w:type="character" w:styleId="Hyperlink">
    <w:name w:val="Hyperlink"/>
    <w:uiPriority w:val="99"/>
    <w:rsid w:val="001538EF"/>
    <w:rPr>
      <w:color w:val="0000FF"/>
      <w:u w:val="single"/>
    </w:rPr>
  </w:style>
  <w:style w:type="paragraph" w:styleId="NormalWeb">
    <w:name w:val="Normal (Web)"/>
    <w:basedOn w:val="Normal"/>
    <w:rsid w:val="001538EF"/>
    <w:pPr>
      <w:spacing w:after="225"/>
    </w:pPr>
  </w:style>
  <w:style w:type="paragraph" w:customStyle="1" w:styleId="Stav">
    <w:name w:val="Stav"/>
    <w:basedOn w:val="Normal"/>
    <w:qFormat/>
    <w:rsid w:val="001538EF"/>
    <w:pPr>
      <w:spacing w:after="120"/>
    </w:pPr>
    <w:rPr>
      <w:lang w:val="sr-Cyrl-CS"/>
    </w:rPr>
  </w:style>
  <w:style w:type="paragraph" w:customStyle="1" w:styleId="Num-Stav">
    <w:name w:val="Num-Stav"/>
    <w:basedOn w:val="Stav"/>
    <w:qFormat/>
    <w:rsid w:val="001538EF"/>
    <w:pPr>
      <w:numPr>
        <w:numId w:val="1"/>
      </w:numPr>
    </w:pPr>
  </w:style>
  <w:style w:type="character" w:styleId="PageNumber">
    <w:name w:val="page number"/>
    <w:basedOn w:val="DefaultParagraphFont"/>
    <w:rsid w:val="001538EF"/>
  </w:style>
  <w:style w:type="table" w:styleId="TableGrid20">
    <w:name w:val="Table Grid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List3">
    <w:name w:val="Table List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Web2">
    <w:name w:val="Table Web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qFormat/>
    <w:rsid w:val="005D0BE8"/>
    <w:pPr>
      <w:tabs>
        <w:tab w:val="left" w:pos="284"/>
        <w:tab w:val="right" w:leader="dot" w:pos="8635"/>
      </w:tabs>
      <w:spacing w:before="240" w:line="360" w:lineRule="auto"/>
    </w:pPr>
    <w:rPr>
      <w:rFonts w:asciiTheme="minorHAnsi" w:hAnsiTheme="minorHAnsi"/>
      <w:b/>
      <w:sz w:val="20"/>
    </w:rPr>
  </w:style>
  <w:style w:type="paragraph" w:styleId="TOC2">
    <w:name w:val="toc 2"/>
    <w:basedOn w:val="Normal"/>
    <w:next w:val="Normal"/>
    <w:autoRedefine/>
    <w:uiPriority w:val="39"/>
    <w:qFormat/>
    <w:rsid w:val="00BC5934"/>
    <w:pPr>
      <w:tabs>
        <w:tab w:val="left" w:pos="284"/>
        <w:tab w:val="right" w:leader="dot" w:pos="8647"/>
      </w:tabs>
      <w:spacing w:line="320" w:lineRule="exact"/>
      <w:ind w:left="426" w:right="140" w:hanging="426"/>
    </w:pPr>
    <w:rPr>
      <w:rFonts w:asciiTheme="minorHAnsi" w:hAnsiTheme="minorHAnsi"/>
      <w:sz w:val="20"/>
    </w:rPr>
  </w:style>
  <w:style w:type="paragraph" w:customStyle="1" w:styleId="Default">
    <w:name w:val="Default"/>
    <w:rsid w:val="001538EF"/>
    <w:pPr>
      <w:autoSpaceDE w:val="0"/>
      <w:autoSpaceDN w:val="0"/>
      <w:adjustRightInd w:val="0"/>
      <w:spacing w:after="0" w:line="240" w:lineRule="auto"/>
    </w:pPr>
    <w:rPr>
      <w:rFonts w:ascii="DMPEGO+Arial" w:hAnsi="DMPEGO+Arial" w:cs="DMPEGO+Arial"/>
      <w:color w:val="000000"/>
      <w:sz w:val="24"/>
      <w:szCs w:val="24"/>
    </w:rPr>
  </w:style>
  <w:style w:type="paragraph" w:customStyle="1" w:styleId="Glava">
    <w:name w:val="Glava"/>
    <w:basedOn w:val="Normal"/>
    <w:qFormat/>
    <w:rsid w:val="001538EF"/>
    <w:pPr>
      <w:keepNext/>
      <w:numPr>
        <w:numId w:val="2"/>
      </w:numPr>
      <w:spacing w:before="360" w:after="240"/>
    </w:pPr>
    <w:rPr>
      <w:b/>
      <w:caps/>
      <w:noProof/>
      <w:lang w:val="sr-Cyrl-RS"/>
    </w:rPr>
  </w:style>
  <w:style w:type="numbering" w:customStyle="1" w:styleId="Numerisanje">
    <w:name w:val="Numerisanje"/>
    <w:basedOn w:val="NoList"/>
    <w:uiPriority w:val="99"/>
    <w:rsid w:val="001538EF"/>
    <w:pPr>
      <w:numPr>
        <w:numId w:val="4"/>
      </w:numPr>
    </w:pPr>
  </w:style>
  <w:style w:type="paragraph" w:customStyle="1" w:styleId="lan">
    <w:name w:val="Član"/>
    <w:basedOn w:val="Normal"/>
    <w:qFormat/>
    <w:rsid w:val="001538EF"/>
    <w:pPr>
      <w:keepNext/>
      <w:numPr>
        <w:numId w:val="5"/>
      </w:numPr>
      <w:spacing w:before="360" w:after="240"/>
      <w:ind w:left="0" w:firstLine="0"/>
      <w:jc w:val="center"/>
    </w:pPr>
    <w:rPr>
      <w:b/>
      <w:noProof/>
    </w:rPr>
  </w:style>
  <w:style w:type="paragraph" w:customStyle="1" w:styleId="Oznacavanje">
    <w:name w:val="Oznacavanje"/>
    <w:basedOn w:val="Normal"/>
    <w:qFormat/>
    <w:rsid w:val="001538EF"/>
    <w:pPr>
      <w:numPr>
        <w:numId w:val="3"/>
      </w:numPr>
      <w:ind w:left="851" w:hanging="284"/>
    </w:pPr>
    <w:rPr>
      <w:noProof/>
      <w:lang w:val="sr-Cyrl-RS"/>
    </w:rPr>
  </w:style>
  <w:style w:type="table" w:customStyle="1" w:styleId="TableGrid1">
    <w:name w:val="Table Grid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538EF"/>
    <w:pPr>
      <w:keepNext/>
      <w:keepLines/>
      <w:spacing w:before="480" w:after="0" w:line="276" w:lineRule="auto"/>
      <w:jc w:val="left"/>
      <w:outlineLvl w:val="9"/>
    </w:pPr>
    <w:rPr>
      <w:rFonts w:asciiTheme="majorHAnsi" w:eastAsiaTheme="majorEastAsia" w:hAnsiTheme="majorHAnsi" w:cstheme="majorBidi"/>
      <w:b w:val="0"/>
      <w:bCs/>
      <w:caps w:val="0"/>
      <w:color w:val="365F91" w:themeColor="accent1" w:themeShade="BF"/>
      <w:kern w:val="0"/>
      <w:sz w:val="28"/>
      <w:szCs w:val="28"/>
      <w:lang w:val="en-US" w:eastAsia="ja-JP"/>
    </w:rPr>
  </w:style>
  <w:style w:type="numbering" w:customStyle="1" w:styleId="NoList1">
    <w:name w:val="No List1"/>
    <w:next w:val="NoList"/>
    <w:uiPriority w:val="99"/>
    <w:semiHidden/>
    <w:unhideWhenUsed/>
    <w:rsid w:val="001538EF"/>
  </w:style>
  <w:style w:type="table" w:customStyle="1" w:styleId="TableGrid3">
    <w:name w:val="Table Grid3"/>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 21"/>
    <w:basedOn w:val="TableNormal"/>
    <w:next w:val="TableGrid20"/>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Web21">
    <w:name w:val="Table Web 21"/>
    <w:basedOn w:val="TableNormal"/>
    <w:next w:val="TableWeb2"/>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538EF"/>
    <w:rPr>
      <w:color w:val="800080"/>
      <w:u w:val="single"/>
    </w:rPr>
  </w:style>
  <w:style w:type="paragraph" w:customStyle="1" w:styleId="xl66">
    <w:name w:val="xl6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7">
    <w:name w:val="xl6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8">
    <w:name w:val="xl68"/>
    <w:basedOn w:val="Normal"/>
    <w:rsid w:val="001538EF"/>
    <w:pPr>
      <w:pBdr>
        <w:top w:val="single" w:sz="8" w:space="0" w:color="auto"/>
        <w:left w:val="single" w:sz="8"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69">
    <w:name w:val="xl69"/>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0">
    <w:name w:val="xl70"/>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1">
    <w:name w:val="xl71"/>
    <w:basedOn w:val="Normal"/>
    <w:rsid w:val="001538EF"/>
    <w:pPr>
      <w:pBdr>
        <w:top w:val="single" w:sz="8" w:space="0" w:color="auto"/>
        <w:left w:val="single" w:sz="4" w:space="0" w:color="auto"/>
        <w:bottom w:val="single" w:sz="8" w:space="0" w:color="auto"/>
        <w:right w:val="single" w:sz="8" w:space="0" w:color="auto"/>
      </w:pBdr>
      <w:spacing w:before="100" w:beforeAutospacing="1" w:after="100" w:afterAutospacing="1"/>
      <w:jc w:val="left"/>
    </w:pPr>
    <w:rPr>
      <w:b/>
      <w:bCs/>
      <w:color w:val="auto"/>
    </w:rPr>
  </w:style>
  <w:style w:type="paragraph" w:customStyle="1" w:styleId="xl72">
    <w:name w:val="xl72"/>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rPr>
  </w:style>
  <w:style w:type="paragraph" w:customStyle="1" w:styleId="xl73">
    <w:name w:val="xl7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4">
    <w:name w:val="xl7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5">
    <w:name w:val="xl7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6">
    <w:name w:val="xl7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7">
    <w:name w:val="xl77"/>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8">
    <w:name w:val="xl78"/>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9">
    <w:name w:val="xl79"/>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80">
    <w:name w:val="xl80"/>
    <w:basedOn w:val="Normal"/>
    <w:rsid w:val="001538EF"/>
    <w:pPr>
      <w:pBdr>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1">
    <w:name w:val="xl8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2">
    <w:name w:val="xl8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83">
    <w:name w:val="xl8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4">
    <w:name w:val="xl8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font5">
    <w:name w:val="font5"/>
    <w:basedOn w:val="Normal"/>
    <w:rsid w:val="001538EF"/>
    <w:pPr>
      <w:spacing w:before="100" w:beforeAutospacing="1" w:after="100" w:afterAutospacing="1"/>
      <w:jc w:val="left"/>
    </w:pPr>
    <w:rPr>
      <w:rFonts w:ascii="Calibri" w:hAnsi="Calibri"/>
      <w:b/>
      <w:bCs/>
      <w:lang w:val="en-US" w:eastAsia="en-US"/>
    </w:rPr>
  </w:style>
  <w:style w:type="paragraph" w:customStyle="1" w:styleId="xl65">
    <w:name w:val="xl65"/>
    <w:basedOn w:val="Normal"/>
    <w:rsid w:val="001538EF"/>
    <w:pPr>
      <w:spacing w:before="100" w:beforeAutospacing="1" w:after="100" w:afterAutospacing="1"/>
      <w:jc w:val="left"/>
    </w:pPr>
    <w:rPr>
      <w:rFonts w:ascii="Calibri" w:hAnsi="Calibri"/>
      <w:color w:val="auto"/>
      <w:lang w:val="en-US" w:eastAsia="en-US"/>
    </w:rPr>
  </w:style>
  <w:style w:type="paragraph" w:customStyle="1" w:styleId="xl85">
    <w:name w:val="xl8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i/>
      <w:iCs/>
      <w:lang w:val="en-US" w:eastAsia="en-US"/>
    </w:rPr>
  </w:style>
  <w:style w:type="paragraph" w:customStyle="1" w:styleId="xl86">
    <w:name w:val="xl8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i/>
      <w:iCs/>
      <w:lang w:val="en-US" w:eastAsia="en-US"/>
    </w:rPr>
  </w:style>
  <w:style w:type="paragraph" w:customStyle="1" w:styleId="xl87">
    <w:name w:val="xl87"/>
    <w:basedOn w:val="Normal"/>
    <w:rsid w:val="001538EF"/>
    <w:pPr>
      <w:spacing w:before="100" w:beforeAutospacing="1" w:after="100" w:afterAutospacing="1"/>
      <w:jc w:val="left"/>
    </w:pPr>
    <w:rPr>
      <w:rFonts w:ascii="Calibri" w:hAnsi="Calibri"/>
      <w:i/>
      <w:iCs/>
      <w:color w:val="auto"/>
      <w:lang w:val="en-US" w:eastAsia="en-US"/>
    </w:rPr>
  </w:style>
  <w:style w:type="paragraph" w:customStyle="1" w:styleId="xl88">
    <w:name w:val="xl8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color w:val="auto"/>
      <w:lang w:val="en-US" w:eastAsia="en-US"/>
    </w:rPr>
  </w:style>
  <w:style w:type="paragraph" w:customStyle="1" w:styleId="xl89">
    <w:name w:val="xl89"/>
    <w:basedOn w:val="Normal"/>
    <w:rsid w:val="001538EF"/>
    <w:pPr>
      <w:spacing w:before="100" w:beforeAutospacing="1" w:after="100" w:afterAutospacing="1"/>
      <w:jc w:val="left"/>
    </w:pPr>
    <w:rPr>
      <w:rFonts w:ascii="Calibri" w:hAnsi="Calibri"/>
      <w:b/>
      <w:bCs/>
      <w:i/>
      <w:iCs/>
      <w:color w:val="auto"/>
      <w:lang w:val="en-US" w:eastAsia="en-US"/>
    </w:rPr>
  </w:style>
  <w:style w:type="paragraph" w:customStyle="1" w:styleId="xl90">
    <w:name w:val="xl9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lang w:val="en-US" w:eastAsia="en-US"/>
    </w:rPr>
  </w:style>
  <w:style w:type="paragraph" w:customStyle="1" w:styleId="xl91">
    <w:name w:val="xl91"/>
    <w:basedOn w:val="Normal"/>
    <w:rsid w:val="001538EF"/>
    <w:pPr>
      <w:spacing w:before="100" w:beforeAutospacing="1" w:after="100" w:afterAutospacing="1"/>
      <w:jc w:val="left"/>
    </w:pPr>
    <w:rPr>
      <w:rFonts w:ascii="Calibri" w:hAnsi="Calibri"/>
      <w:color w:val="auto"/>
      <w:lang w:val="en-US" w:eastAsia="en-US"/>
    </w:rPr>
  </w:style>
  <w:style w:type="paragraph" w:customStyle="1" w:styleId="xl92">
    <w:name w:val="xl9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i/>
      <w:iCs/>
      <w:lang w:val="en-US" w:eastAsia="en-US"/>
    </w:rPr>
  </w:style>
  <w:style w:type="paragraph" w:customStyle="1" w:styleId="xl93">
    <w:name w:val="xl9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lang w:val="en-US" w:eastAsia="en-US"/>
    </w:rPr>
  </w:style>
  <w:style w:type="paragraph" w:customStyle="1" w:styleId="xl94">
    <w:name w:val="xl9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i/>
      <w:iCs/>
      <w:lang w:val="en-US" w:eastAsia="en-US"/>
    </w:rPr>
  </w:style>
  <w:style w:type="paragraph" w:customStyle="1" w:styleId="xl95">
    <w:name w:val="xl9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lang w:val="en-US" w:eastAsia="en-US"/>
    </w:rPr>
  </w:style>
  <w:style w:type="paragraph" w:customStyle="1" w:styleId="xl96">
    <w:name w:val="xl9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7">
    <w:name w:val="xl9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8">
    <w:name w:val="xl9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sz w:val="28"/>
      <w:szCs w:val="28"/>
      <w:lang w:val="en-US" w:eastAsia="en-US"/>
    </w:rPr>
  </w:style>
  <w:style w:type="paragraph" w:customStyle="1" w:styleId="xl99">
    <w:name w:val="xl99"/>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color w:val="auto"/>
      <w:sz w:val="28"/>
      <w:szCs w:val="28"/>
      <w:lang w:val="en-US" w:eastAsia="en-US"/>
    </w:rPr>
  </w:style>
  <w:style w:type="paragraph" w:customStyle="1" w:styleId="xl100">
    <w:name w:val="xl10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28"/>
      <w:szCs w:val="28"/>
      <w:lang w:val="en-US" w:eastAsia="en-US"/>
    </w:rPr>
  </w:style>
  <w:style w:type="paragraph" w:customStyle="1" w:styleId="xl101">
    <w:name w:val="xl10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paragraph" w:customStyle="1" w:styleId="xl102">
    <w:name w:val="xl10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sz w:val="28"/>
      <w:szCs w:val="28"/>
      <w:lang w:val="en-US" w:eastAsia="en-US"/>
    </w:rPr>
  </w:style>
  <w:style w:type="paragraph" w:customStyle="1" w:styleId="xl103">
    <w:name w:val="xl10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table" w:customStyle="1" w:styleId="TableGrid4">
    <w:name w:val="Table Grid4"/>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4">
    <w:name w:val="xl104"/>
    <w:basedOn w:val="Normal"/>
    <w:rsid w:val="001538EF"/>
    <w:pPr>
      <w:pBdr>
        <w:bottom w:val="single" w:sz="8" w:space="0" w:color="auto"/>
        <w:right w:val="single" w:sz="8" w:space="0" w:color="auto"/>
      </w:pBdr>
      <w:spacing w:before="100" w:beforeAutospacing="1" w:after="100" w:afterAutospacing="1"/>
      <w:jc w:val="right"/>
      <w:textAlignment w:val="center"/>
    </w:pPr>
  </w:style>
  <w:style w:type="paragraph" w:customStyle="1" w:styleId="xl105">
    <w:name w:val="xl105"/>
    <w:basedOn w:val="Normal"/>
    <w:rsid w:val="001538EF"/>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i/>
      <w:iCs/>
    </w:rPr>
  </w:style>
  <w:style w:type="paragraph" w:customStyle="1" w:styleId="xl106">
    <w:name w:val="xl106"/>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107">
    <w:name w:val="xl107"/>
    <w:basedOn w:val="Normal"/>
    <w:rsid w:val="001538EF"/>
    <w:pPr>
      <w:pBdr>
        <w:bottom w:val="single" w:sz="8" w:space="0" w:color="auto"/>
        <w:right w:val="single" w:sz="8" w:space="0" w:color="auto"/>
      </w:pBdr>
      <w:spacing w:before="100" w:beforeAutospacing="1" w:after="100" w:afterAutospacing="1"/>
      <w:textAlignment w:val="top"/>
    </w:pPr>
  </w:style>
  <w:style w:type="paragraph" w:customStyle="1" w:styleId="xl108">
    <w:name w:val="xl10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rPr>
  </w:style>
  <w:style w:type="paragraph" w:customStyle="1" w:styleId="xl109">
    <w:name w:val="xl109"/>
    <w:basedOn w:val="Normal"/>
    <w:rsid w:val="001538EF"/>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110">
    <w:name w:val="xl110"/>
    <w:basedOn w:val="Normal"/>
    <w:rsid w:val="001538EF"/>
    <w:pPr>
      <w:spacing w:before="100" w:beforeAutospacing="1" w:after="100" w:afterAutospacing="1"/>
      <w:jc w:val="right"/>
    </w:pPr>
    <w:rPr>
      <w:color w:val="auto"/>
    </w:rPr>
  </w:style>
  <w:style w:type="paragraph" w:customStyle="1" w:styleId="xl111">
    <w:name w:val="xl111"/>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2">
    <w:name w:val="xl112"/>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3">
    <w:name w:val="xl113"/>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14">
    <w:name w:val="xl114"/>
    <w:basedOn w:val="Normal"/>
    <w:rsid w:val="001538EF"/>
    <w:pPr>
      <w:pBdr>
        <w:bottom w:val="single" w:sz="8" w:space="0" w:color="auto"/>
        <w:right w:val="single" w:sz="8" w:space="0" w:color="auto"/>
      </w:pBdr>
      <w:spacing w:before="100" w:beforeAutospacing="1" w:after="100" w:afterAutospacing="1"/>
      <w:textAlignment w:val="center"/>
    </w:pPr>
    <w:rPr>
      <w:color w:val="auto"/>
      <w:sz w:val="18"/>
      <w:szCs w:val="18"/>
    </w:rPr>
  </w:style>
  <w:style w:type="paragraph" w:customStyle="1" w:styleId="xl115">
    <w:name w:val="xl115"/>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color w:val="auto"/>
      <w:sz w:val="18"/>
      <w:szCs w:val="18"/>
    </w:rPr>
  </w:style>
  <w:style w:type="paragraph" w:customStyle="1" w:styleId="xl116">
    <w:name w:val="xl11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7">
    <w:name w:val="xl11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8">
    <w:name w:val="xl118"/>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19">
    <w:name w:val="xl119"/>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20">
    <w:name w:val="xl120"/>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1">
    <w:name w:val="xl121"/>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2">
    <w:name w:val="xl122"/>
    <w:basedOn w:val="Normal"/>
    <w:rsid w:val="001538EF"/>
    <w:pPr>
      <w:pBdr>
        <w:bottom w:val="single" w:sz="8" w:space="0" w:color="auto"/>
        <w:right w:val="single" w:sz="8" w:space="0" w:color="auto"/>
      </w:pBdr>
      <w:spacing w:before="100" w:beforeAutospacing="1" w:after="100" w:afterAutospacing="1"/>
      <w:jc w:val="right"/>
      <w:textAlignment w:val="center"/>
    </w:pPr>
    <w:rPr>
      <w:b/>
      <w:bCs/>
      <w:i/>
      <w:iCs/>
      <w:sz w:val="18"/>
      <w:szCs w:val="18"/>
    </w:rPr>
  </w:style>
  <w:style w:type="paragraph" w:customStyle="1" w:styleId="xl123">
    <w:name w:val="xl123"/>
    <w:basedOn w:val="Normal"/>
    <w:rsid w:val="001538EF"/>
    <w:pPr>
      <w:pBdr>
        <w:bottom w:val="single" w:sz="8" w:space="0" w:color="auto"/>
        <w:right w:val="single" w:sz="8" w:space="0" w:color="auto"/>
      </w:pBdr>
      <w:spacing w:before="100" w:beforeAutospacing="1" w:after="100" w:afterAutospacing="1"/>
      <w:textAlignment w:val="center"/>
    </w:pPr>
    <w:rPr>
      <w:b/>
      <w:bCs/>
      <w:i/>
      <w:iCs/>
      <w:sz w:val="18"/>
      <w:szCs w:val="18"/>
    </w:rPr>
  </w:style>
  <w:style w:type="paragraph" w:customStyle="1" w:styleId="xl124">
    <w:name w:val="xl124"/>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5">
    <w:name w:val="xl125"/>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paragraph" w:customStyle="1" w:styleId="xl126">
    <w:name w:val="xl12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7">
    <w:name w:val="xl12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8">
    <w:name w:val="xl128"/>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character" w:customStyle="1" w:styleId="tekst1">
    <w:name w:val="tekst1"/>
    <w:rsid w:val="001538EF"/>
    <w:rPr>
      <w:rFonts w:ascii="Arial" w:hAnsi="Arial" w:cs="Arial" w:hint="default"/>
      <w:color w:val="000000"/>
      <w:sz w:val="18"/>
      <w:szCs w:val="18"/>
    </w:rPr>
  </w:style>
  <w:style w:type="paragraph" w:styleId="NoSpacing">
    <w:name w:val="No Spacing"/>
    <w:uiPriority w:val="1"/>
    <w:qFormat/>
    <w:rsid w:val="001538EF"/>
    <w:pPr>
      <w:spacing w:after="0" w:line="240" w:lineRule="auto"/>
      <w:jc w:val="both"/>
    </w:pPr>
    <w:rPr>
      <w:rFonts w:ascii="Times New Roman" w:eastAsia="Times New Roman" w:hAnsi="Times New Roman" w:cs="Times New Roman"/>
      <w:color w:val="000000"/>
      <w:sz w:val="24"/>
      <w:szCs w:val="24"/>
      <w:lang w:eastAsia="bs-Latn-BA"/>
    </w:rPr>
  </w:style>
  <w:style w:type="paragraph" w:customStyle="1" w:styleId="font6">
    <w:name w:val="font6"/>
    <w:basedOn w:val="Normal"/>
    <w:rsid w:val="001538EF"/>
    <w:pPr>
      <w:spacing w:before="100" w:beforeAutospacing="1" w:after="100" w:afterAutospacing="1"/>
      <w:jc w:val="left"/>
    </w:pPr>
    <w:rPr>
      <w:rFonts w:ascii="Tahoma" w:hAnsi="Tahoma" w:cs="Tahoma"/>
      <w:b/>
      <w:bCs/>
      <w:sz w:val="18"/>
      <w:szCs w:val="18"/>
    </w:rPr>
  </w:style>
  <w:style w:type="paragraph" w:customStyle="1" w:styleId="xl129">
    <w:name w:val="xl129"/>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b/>
      <w:bCs/>
      <w:i/>
      <w:iCs/>
      <w:color w:val="auto"/>
      <w:sz w:val="18"/>
      <w:szCs w:val="18"/>
    </w:rPr>
  </w:style>
  <w:style w:type="paragraph" w:customStyle="1" w:styleId="xl130">
    <w:name w:val="xl130"/>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1">
    <w:name w:val="xl131"/>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2">
    <w:name w:val="xl132"/>
    <w:basedOn w:val="Normal"/>
    <w:rsid w:val="001538EF"/>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3">
    <w:name w:val="xl133"/>
    <w:basedOn w:val="Normal"/>
    <w:rsid w:val="001538EF"/>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4">
    <w:name w:val="xl13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table" w:customStyle="1" w:styleId="TableGrid5">
    <w:name w:val="Table Grid5"/>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semiHidden/>
    <w:unhideWhenUsed/>
    <w:qFormat/>
    <w:rsid w:val="001538EF"/>
    <w:pPr>
      <w:spacing w:after="100" w:line="276" w:lineRule="auto"/>
      <w:ind w:left="440"/>
      <w:jc w:val="left"/>
    </w:pPr>
    <w:rPr>
      <w:rFonts w:asciiTheme="minorHAnsi" w:eastAsiaTheme="minorEastAsia" w:hAnsiTheme="minorHAnsi" w:cstheme="minorBidi"/>
      <w:color w:val="auto"/>
      <w:sz w:val="22"/>
      <w:szCs w:val="22"/>
      <w:lang w:val="en-US" w:eastAsia="ja-JP"/>
    </w:rPr>
  </w:style>
  <w:style w:type="paragraph" w:customStyle="1" w:styleId="xl135">
    <w:name w:val="xl135"/>
    <w:basedOn w:val="Normal"/>
    <w:rsid w:val="001538E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
    <w:rsid w:val="001538E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color w:val="auto"/>
      <w:sz w:val="18"/>
      <w:szCs w:val="18"/>
    </w:rPr>
  </w:style>
  <w:style w:type="paragraph" w:customStyle="1" w:styleId="xl137">
    <w:name w:val="xl137"/>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8">
    <w:name w:val="xl138"/>
    <w:basedOn w:val="Normal"/>
    <w:rsid w:val="001538EF"/>
    <w:pPr>
      <w:pBdr>
        <w:top w:val="single" w:sz="4" w:space="0" w:color="auto"/>
        <w:bottom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9">
    <w:name w:val="xl139"/>
    <w:basedOn w:val="Normal"/>
    <w:rsid w:val="001538EF"/>
    <w:pPr>
      <w:pBdr>
        <w:top w:val="single" w:sz="4" w:space="0" w:color="auto"/>
        <w:right w:val="single" w:sz="4" w:space="0" w:color="auto"/>
      </w:pBdr>
      <w:shd w:val="clear" w:color="000000" w:fill="FCD5B4"/>
      <w:spacing w:before="100" w:beforeAutospacing="1" w:after="100" w:afterAutospacing="1"/>
      <w:jc w:val="left"/>
      <w:textAlignment w:val="center"/>
    </w:pPr>
    <w:rPr>
      <w:b/>
      <w:bCs/>
      <w:sz w:val="18"/>
      <w:szCs w:val="18"/>
    </w:rPr>
  </w:style>
  <w:style w:type="paragraph" w:customStyle="1" w:styleId="xl140">
    <w:name w:val="xl140"/>
    <w:basedOn w:val="Normal"/>
    <w:rsid w:val="001538EF"/>
    <w:pPr>
      <w:spacing w:before="100" w:beforeAutospacing="1" w:after="100" w:afterAutospacing="1"/>
      <w:jc w:val="left"/>
    </w:pPr>
    <w:rPr>
      <w:color w:val="auto"/>
      <w:sz w:val="18"/>
      <w:szCs w:val="18"/>
    </w:rPr>
  </w:style>
  <w:style w:type="paragraph" w:customStyle="1" w:styleId="xl141">
    <w:name w:val="xl141"/>
    <w:basedOn w:val="Normal"/>
    <w:rsid w:val="001538EF"/>
    <w:pPr>
      <w:spacing w:before="100" w:beforeAutospacing="1" w:after="100" w:afterAutospacing="1"/>
      <w:jc w:val="right"/>
      <w:textAlignment w:val="center"/>
    </w:pPr>
    <w:rPr>
      <w:color w:val="auto"/>
      <w:sz w:val="18"/>
      <w:szCs w:val="18"/>
    </w:rPr>
  </w:style>
  <w:style w:type="table" w:customStyle="1" w:styleId="TableGrid51">
    <w:name w:val="Table Grid51"/>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1,b,heading3,Body Text - Level 2,Body Text x,Szövegtörzs1,body text,contents,body,b-heading 1/heading 2,bd,heading1body-heading2body,bt"/>
    <w:basedOn w:val="Normal"/>
    <w:link w:val="BodyTextChar"/>
    <w:uiPriority w:val="99"/>
    <w:rsid w:val="001538EF"/>
    <w:pPr>
      <w:widowControl w:val="0"/>
      <w:spacing w:after="240"/>
      <w:jc w:val="left"/>
    </w:pPr>
    <w:rPr>
      <w:color w:val="auto"/>
      <w:szCs w:val="20"/>
      <w:lang w:val="en-US" w:eastAsia="en-US"/>
    </w:rPr>
  </w:style>
  <w:style w:type="character" w:customStyle="1" w:styleId="BodyTextChar">
    <w:name w:val="Body Text Char"/>
    <w:aliases w:val="Body Text1 Char,b Char,heading3 Char,Body Text - Level 2 Char,Body Text x Char,Szövegtörzs1 Char,body text Char,contents Char,body Char,b-heading 1/heading 2 Char,bd Char,heading1body-heading2body Char,bt Char"/>
    <w:basedOn w:val="DefaultParagraphFont"/>
    <w:link w:val="BodyText"/>
    <w:uiPriority w:val="99"/>
    <w:rsid w:val="001538EF"/>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1538EF"/>
    <w:pPr>
      <w:widowControl w:val="0"/>
      <w:autoSpaceDE w:val="0"/>
      <w:autoSpaceDN w:val="0"/>
      <w:ind w:left="105"/>
      <w:jc w:val="left"/>
    </w:pPr>
    <w:rPr>
      <w:color w:val="auto"/>
      <w:sz w:val="22"/>
      <w:szCs w:val="22"/>
      <w:lang w:val="en-US" w:eastAsia="en-US"/>
    </w:rPr>
  </w:style>
  <w:style w:type="paragraph" w:customStyle="1" w:styleId="xl63">
    <w:name w:val="xl63"/>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Narrow" w:hAnsi="Arial Narrow"/>
      <w:b/>
      <w:bCs/>
      <w:color w:val="080000"/>
    </w:rPr>
  </w:style>
  <w:style w:type="paragraph" w:customStyle="1" w:styleId="xl64">
    <w:name w:val="xl64"/>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bottom"/>
    </w:pPr>
    <w:rPr>
      <w:rFonts w:ascii="Arial Narrow" w:hAnsi="Arial Narrow"/>
      <w:b/>
      <w:bCs/>
      <w:color w:val="080000"/>
    </w:rPr>
  </w:style>
  <w:style w:type="numbering" w:customStyle="1" w:styleId="Stil1">
    <w:name w:val="Stil1"/>
    <w:uiPriority w:val="99"/>
    <w:rsid w:val="001538EF"/>
    <w:pPr>
      <w:numPr>
        <w:numId w:val="6"/>
      </w:numPr>
    </w:pPr>
  </w:style>
  <w:style w:type="numbering" w:customStyle="1" w:styleId="Stil2">
    <w:name w:val="Stil2"/>
    <w:uiPriority w:val="99"/>
    <w:rsid w:val="001538EF"/>
    <w:pPr>
      <w:numPr>
        <w:numId w:val="12"/>
      </w:numPr>
    </w:pPr>
  </w:style>
  <w:style w:type="numbering" w:customStyle="1" w:styleId="Stil5">
    <w:name w:val="Stil5"/>
    <w:uiPriority w:val="99"/>
    <w:rsid w:val="001538EF"/>
    <w:pPr>
      <w:numPr>
        <w:numId w:val="13"/>
      </w:numPr>
    </w:pPr>
  </w:style>
  <w:style w:type="paragraph" w:customStyle="1" w:styleId="Heading11">
    <w:name w:val="Heading 11"/>
    <w:basedOn w:val="Normal"/>
    <w:rsid w:val="001538EF"/>
    <w:pPr>
      <w:numPr>
        <w:numId w:val="17"/>
      </w:numPr>
      <w:spacing w:after="240"/>
      <w:ind w:left="357" w:hanging="357"/>
    </w:pPr>
    <w:rPr>
      <w:rFonts w:ascii="Calibri" w:hAnsi="Calibri"/>
      <w:b/>
      <w:caps/>
      <w:sz w:val="22"/>
    </w:rPr>
  </w:style>
  <w:style w:type="paragraph" w:customStyle="1" w:styleId="Heading21">
    <w:name w:val="Heading 21"/>
    <w:basedOn w:val="Normal"/>
    <w:rsid w:val="001538EF"/>
    <w:pPr>
      <w:numPr>
        <w:ilvl w:val="1"/>
        <w:numId w:val="17"/>
      </w:numPr>
    </w:pPr>
  </w:style>
  <w:style w:type="paragraph" w:customStyle="1" w:styleId="Heading31">
    <w:name w:val="Heading 31"/>
    <w:basedOn w:val="Normal"/>
    <w:rsid w:val="001538EF"/>
    <w:pPr>
      <w:numPr>
        <w:ilvl w:val="2"/>
        <w:numId w:val="17"/>
      </w:numPr>
    </w:pPr>
  </w:style>
  <w:style w:type="paragraph" w:customStyle="1" w:styleId="Heading41">
    <w:name w:val="Heading 41"/>
    <w:basedOn w:val="Normal"/>
    <w:rsid w:val="001538EF"/>
    <w:pPr>
      <w:numPr>
        <w:ilvl w:val="3"/>
        <w:numId w:val="17"/>
      </w:numPr>
    </w:pPr>
  </w:style>
  <w:style w:type="paragraph" w:customStyle="1" w:styleId="Heading51">
    <w:name w:val="Heading 51"/>
    <w:basedOn w:val="Normal"/>
    <w:rsid w:val="001538EF"/>
    <w:pPr>
      <w:numPr>
        <w:ilvl w:val="4"/>
        <w:numId w:val="17"/>
      </w:numPr>
    </w:pPr>
  </w:style>
  <w:style w:type="paragraph" w:customStyle="1" w:styleId="Heading61">
    <w:name w:val="Heading 61"/>
    <w:basedOn w:val="Normal"/>
    <w:rsid w:val="001538EF"/>
    <w:pPr>
      <w:numPr>
        <w:ilvl w:val="5"/>
        <w:numId w:val="17"/>
      </w:numPr>
    </w:pPr>
  </w:style>
  <w:style w:type="paragraph" w:customStyle="1" w:styleId="Heading71">
    <w:name w:val="Heading 71"/>
    <w:basedOn w:val="Normal"/>
    <w:rsid w:val="001538EF"/>
    <w:pPr>
      <w:numPr>
        <w:ilvl w:val="6"/>
        <w:numId w:val="17"/>
      </w:numPr>
    </w:pPr>
  </w:style>
  <w:style w:type="paragraph" w:customStyle="1" w:styleId="Heading81">
    <w:name w:val="Heading 81"/>
    <w:basedOn w:val="Normal"/>
    <w:rsid w:val="001538EF"/>
    <w:pPr>
      <w:numPr>
        <w:ilvl w:val="7"/>
        <w:numId w:val="17"/>
      </w:numPr>
    </w:pPr>
  </w:style>
  <w:style w:type="paragraph" w:customStyle="1" w:styleId="Heading91">
    <w:name w:val="Heading 91"/>
    <w:basedOn w:val="Normal"/>
    <w:rsid w:val="001538EF"/>
    <w:pPr>
      <w:numPr>
        <w:ilvl w:val="8"/>
        <w:numId w:val="17"/>
      </w:numPr>
    </w:pPr>
  </w:style>
  <w:style w:type="character" w:styleId="PlaceholderText">
    <w:name w:val="Placeholder Text"/>
    <w:basedOn w:val="DefaultParagraphFont"/>
    <w:uiPriority w:val="99"/>
    <w:semiHidden/>
    <w:rsid w:val="00FF649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1020">
      <w:bodyDiv w:val="1"/>
      <w:marLeft w:val="0"/>
      <w:marRight w:val="0"/>
      <w:marTop w:val="0"/>
      <w:marBottom w:val="0"/>
      <w:divBdr>
        <w:top w:val="none" w:sz="0" w:space="0" w:color="auto"/>
        <w:left w:val="none" w:sz="0" w:space="0" w:color="auto"/>
        <w:bottom w:val="none" w:sz="0" w:space="0" w:color="auto"/>
        <w:right w:val="none" w:sz="0" w:space="0" w:color="auto"/>
      </w:divBdr>
    </w:div>
    <w:div w:id="237906957">
      <w:bodyDiv w:val="1"/>
      <w:marLeft w:val="0"/>
      <w:marRight w:val="0"/>
      <w:marTop w:val="0"/>
      <w:marBottom w:val="0"/>
      <w:divBdr>
        <w:top w:val="none" w:sz="0" w:space="0" w:color="auto"/>
        <w:left w:val="none" w:sz="0" w:space="0" w:color="auto"/>
        <w:bottom w:val="none" w:sz="0" w:space="0" w:color="auto"/>
        <w:right w:val="none" w:sz="0" w:space="0" w:color="auto"/>
      </w:divBdr>
    </w:div>
    <w:div w:id="247274794">
      <w:bodyDiv w:val="1"/>
      <w:marLeft w:val="0"/>
      <w:marRight w:val="0"/>
      <w:marTop w:val="0"/>
      <w:marBottom w:val="0"/>
      <w:divBdr>
        <w:top w:val="none" w:sz="0" w:space="0" w:color="auto"/>
        <w:left w:val="none" w:sz="0" w:space="0" w:color="auto"/>
        <w:bottom w:val="none" w:sz="0" w:space="0" w:color="auto"/>
        <w:right w:val="none" w:sz="0" w:space="0" w:color="auto"/>
      </w:divBdr>
    </w:div>
    <w:div w:id="320622391">
      <w:bodyDiv w:val="1"/>
      <w:marLeft w:val="0"/>
      <w:marRight w:val="0"/>
      <w:marTop w:val="0"/>
      <w:marBottom w:val="0"/>
      <w:divBdr>
        <w:top w:val="none" w:sz="0" w:space="0" w:color="auto"/>
        <w:left w:val="none" w:sz="0" w:space="0" w:color="auto"/>
        <w:bottom w:val="none" w:sz="0" w:space="0" w:color="auto"/>
        <w:right w:val="none" w:sz="0" w:space="0" w:color="auto"/>
      </w:divBdr>
    </w:div>
    <w:div w:id="512307475">
      <w:bodyDiv w:val="1"/>
      <w:marLeft w:val="0"/>
      <w:marRight w:val="0"/>
      <w:marTop w:val="0"/>
      <w:marBottom w:val="0"/>
      <w:divBdr>
        <w:top w:val="none" w:sz="0" w:space="0" w:color="auto"/>
        <w:left w:val="none" w:sz="0" w:space="0" w:color="auto"/>
        <w:bottom w:val="none" w:sz="0" w:space="0" w:color="auto"/>
        <w:right w:val="none" w:sz="0" w:space="0" w:color="auto"/>
      </w:divBdr>
    </w:div>
    <w:div w:id="981234571">
      <w:bodyDiv w:val="1"/>
      <w:marLeft w:val="0"/>
      <w:marRight w:val="0"/>
      <w:marTop w:val="0"/>
      <w:marBottom w:val="0"/>
      <w:divBdr>
        <w:top w:val="none" w:sz="0" w:space="0" w:color="auto"/>
        <w:left w:val="none" w:sz="0" w:space="0" w:color="auto"/>
        <w:bottom w:val="none" w:sz="0" w:space="0" w:color="auto"/>
        <w:right w:val="none" w:sz="0" w:space="0" w:color="auto"/>
      </w:divBdr>
    </w:div>
    <w:div w:id="1377007981">
      <w:bodyDiv w:val="1"/>
      <w:marLeft w:val="0"/>
      <w:marRight w:val="0"/>
      <w:marTop w:val="0"/>
      <w:marBottom w:val="0"/>
      <w:divBdr>
        <w:top w:val="none" w:sz="0" w:space="0" w:color="auto"/>
        <w:left w:val="none" w:sz="0" w:space="0" w:color="auto"/>
        <w:bottom w:val="none" w:sz="0" w:space="0" w:color="auto"/>
        <w:right w:val="none" w:sz="0" w:space="0" w:color="auto"/>
      </w:divBdr>
    </w:div>
    <w:div w:id="1716538791">
      <w:bodyDiv w:val="1"/>
      <w:marLeft w:val="0"/>
      <w:marRight w:val="0"/>
      <w:marTop w:val="0"/>
      <w:marBottom w:val="0"/>
      <w:divBdr>
        <w:top w:val="none" w:sz="0" w:space="0" w:color="auto"/>
        <w:left w:val="none" w:sz="0" w:space="0" w:color="auto"/>
        <w:bottom w:val="none" w:sz="0" w:space="0" w:color="auto"/>
        <w:right w:val="none" w:sz="0" w:space="0" w:color="auto"/>
      </w:divBdr>
    </w:div>
    <w:div w:id="1741173547">
      <w:bodyDiv w:val="1"/>
      <w:marLeft w:val="0"/>
      <w:marRight w:val="0"/>
      <w:marTop w:val="0"/>
      <w:marBottom w:val="0"/>
      <w:divBdr>
        <w:top w:val="none" w:sz="0" w:space="0" w:color="auto"/>
        <w:left w:val="none" w:sz="0" w:space="0" w:color="auto"/>
        <w:bottom w:val="none" w:sz="0" w:space="0" w:color="auto"/>
        <w:right w:val="none" w:sz="0" w:space="0" w:color="auto"/>
      </w:divBdr>
    </w:div>
    <w:div w:id="1809935574">
      <w:bodyDiv w:val="1"/>
      <w:marLeft w:val="0"/>
      <w:marRight w:val="0"/>
      <w:marTop w:val="0"/>
      <w:marBottom w:val="0"/>
      <w:divBdr>
        <w:top w:val="none" w:sz="0" w:space="0" w:color="auto"/>
        <w:left w:val="none" w:sz="0" w:space="0" w:color="auto"/>
        <w:bottom w:val="none" w:sz="0" w:space="0" w:color="auto"/>
        <w:right w:val="none" w:sz="0" w:space="0" w:color="auto"/>
      </w:divBdr>
    </w:div>
    <w:div w:id="1889996848">
      <w:bodyDiv w:val="1"/>
      <w:marLeft w:val="0"/>
      <w:marRight w:val="0"/>
      <w:marTop w:val="0"/>
      <w:marBottom w:val="0"/>
      <w:divBdr>
        <w:top w:val="none" w:sz="0" w:space="0" w:color="auto"/>
        <w:left w:val="none" w:sz="0" w:space="0" w:color="auto"/>
        <w:bottom w:val="none" w:sz="0" w:space="0" w:color="auto"/>
        <w:right w:val="none" w:sz="0" w:space="0" w:color="auto"/>
      </w:divBdr>
    </w:div>
    <w:div w:id="2012676135">
      <w:bodyDiv w:val="1"/>
      <w:marLeft w:val="0"/>
      <w:marRight w:val="0"/>
      <w:marTop w:val="0"/>
      <w:marBottom w:val="0"/>
      <w:divBdr>
        <w:top w:val="none" w:sz="0" w:space="0" w:color="auto"/>
        <w:left w:val="none" w:sz="0" w:space="0" w:color="auto"/>
        <w:bottom w:val="none" w:sz="0" w:space="0" w:color="auto"/>
        <w:right w:val="none" w:sz="0" w:space="0" w:color="auto"/>
      </w:divBdr>
    </w:div>
    <w:div w:id="2060812077">
      <w:bodyDiv w:val="1"/>
      <w:marLeft w:val="0"/>
      <w:marRight w:val="0"/>
      <w:marTop w:val="0"/>
      <w:marBottom w:val="0"/>
      <w:divBdr>
        <w:top w:val="none" w:sz="0" w:space="0" w:color="auto"/>
        <w:left w:val="none" w:sz="0" w:space="0" w:color="auto"/>
        <w:bottom w:val="none" w:sz="0" w:space="0" w:color="auto"/>
        <w:right w:val="none" w:sz="0" w:space="0" w:color="auto"/>
      </w:divBdr>
    </w:div>
    <w:div w:id="2091459044">
      <w:bodyDiv w:val="1"/>
      <w:marLeft w:val="0"/>
      <w:marRight w:val="0"/>
      <w:marTop w:val="0"/>
      <w:marBottom w:val="0"/>
      <w:divBdr>
        <w:top w:val="none" w:sz="0" w:space="0" w:color="auto"/>
        <w:left w:val="none" w:sz="0" w:space="0" w:color="auto"/>
        <w:bottom w:val="none" w:sz="0" w:space="0" w:color="auto"/>
        <w:right w:val="none" w:sz="0" w:space="0" w:color="auto"/>
      </w:divBdr>
    </w:div>
    <w:div w:id="2096592267">
      <w:bodyDiv w:val="1"/>
      <w:marLeft w:val="0"/>
      <w:marRight w:val="0"/>
      <w:marTop w:val="0"/>
      <w:marBottom w:val="0"/>
      <w:divBdr>
        <w:top w:val="none" w:sz="0" w:space="0" w:color="auto"/>
        <w:left w:val="none" w:sz="0" w:space="0" w:color="auto"/>
        <w:bottom w:val="none" w:sz="0" w:space="0" w:color="auto"/>
        <w:right w:val="none" w:sz="0" w:space="0" w:color="auto"/>
      </w:divBdr>
    </w:div>
    <w:div w:id="2112966655">
      <w:bodyDiv w:val="1"/>
      <w:marLeft w:val="0"/>
      <w:marRight w:val="0"/>
      <w:marTop w:val="0"/>
      <w:marBottom w:val="0"/>
      <w:divBdr>
        <w:top w:val="none" w:sz="0" w:space="0" w:color="auto"/>
        <w:left w:val="none" w:sz="0" w:space="0" w:color="auto"/>
        <w:bottom w:val="none" w:sz="0" w:space="0" w:color="auto"/>
        <w:right w:val="none" w:sz="0" w:space="0" w:color="auto"/>
      </w:divBdr>
    </w:div>
    <w:div w:id="212129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2F806-E4A8-4DE8-A447-AB634EDB3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38</Pages>
  <Words>15029</Words>
  <Characters>85669</Characters>
  <Application>Microsoft Office Word</Application>
  <DocSecurity>0</DocSecurity>
  <Lines>713</Lines>
  <Paragraphs>200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Kocic</dc:creator>
  <cp:lastModifiedBy>Nives Damjanic</cp:lastModifiedBy>
  <cp:revision>67</cp:revision>
  <cp:lastPrinted>2024-06-27T09:27:00Z</cp:lastPrinted>
  <dcterms:created xsi:type="dcterms:W3CDTF">2024-06-19T08:21:00Z</dcterms:created>
  <dcterms:modified xsi:type="dcterms:W3CDTF">2024-07-04T10:01:00Z</dcterms:modified>
</cp:coreProperties>
</file>